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1C8D4" w14:textId="6AD55BF5" w:rsidR="00EE52C9" w:rsidRPr="003775CA" w:rsidRDefault="009656F6" w:rsidP="00CF7526">
      <w:pPr>
        <w:spacing w:before="120" w:after="120"/>
        <w:jc w:val="center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 xml:space="preserve">README. </w:t>
      </w:r>
      <w:r w:rsidR="00EE52C9" w:rsidRPr="003775CA">
        <w:rPr>
          <w:rFonts w:cstheme="minorHAnsi"/>
          <w:b/>
          <w:bCs/>
          <w:lang w:val="en-US"/>
        </w:rPr>
        <w:t xml:space="preserve">Project ‘Equity in </w:t>
      </w:r>
      <w:r w:rsidR="00D747BB" w:rsidRPr="003775CA">
        <w:rPr>
          <w:rFonts w:cstheme="minorHAnsi"/>
          <w:b/>
          <w:bCs/>
          <w:lang w:val="en-US"/>
        </w:rPr>
        <w:t>the Dutch long-term care system</w:t>
      </w:r>
      <w:r w:rsidR="00EE52C9" w:rsidRPr="003775CA">
        <w:rPr>
          <w:rFonts w:cstheme="minorHAnsi"/>
          <w:b/>
          <w:bCs/>
          <w:lang w:val="en-US"/>
        </w:rPr>
        <w:t>’</w:t>
      </w:r>
      <w:r>
        <w:rPr>
          <w:rFonts w:cstheme="minorHAnsi"/>
          <w:b/>
          <w:bCs/>
          <w:lang w:val="en-US"/>
        </w:rPr>
        <w:t>.</w:t>
      </w:r>
    </w:p>
    <w:p w14:paraId="731CF0A6" w14:textId="7EBB6ED2" w:rsidR="00EE52C9" w:rsidRPr="003775CA" w:rsidRDefault="00EE52C9" w:rsidP="00CF7526">
      <w:pPr>
        <w:spacing w:before="120" w:after="120"/>
        <w:jc w:val="center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t>Overview of code</w:t>
      </w:r>
      <w:r w:rsidR="002D0DF1" w:rsidRPr="003775CA">
        <w:rPr>
          <w:rFonts w:cstheme="minorHAnsi"/>
          <w:b/>
          <w:bCs/>
          <w:lang w:val="en-US"/>
        </w:rPr>
        <w:t xml:space="preserve"> and input</w:t>
      </w:r>
    </w:p>
    <w:p w14:paraId="16242379" w14:textId="67544924" w:rsidR="00F5298C" w:rsidRPr="00564212" w:rsidRDefault="00F5298C" w:rsidP="00F5298C">
      <w:pPr>
        <w:spacing w:before="120" w:after="120"/>
        <w:jc w:val="center"/>
        <w:rPr>
          <w:rFonts w:cstheme="minorHAnsi"/>
          <w:lang w:val="en-US"/>
        </w:rPr>
      </w:pPr>
      <w:r w:rsidRPr="00564212">
        <w:rPr>
          <w:rFonts w:cstheme="minorHAnsi"/>
          <w:lang w:val="en-US"/>
        </w:rPr>
        <w:t>Marianne Tenand</w:t>
      </w:r>
      <w:r w:rsidRPr="003775CA">
        <w:rPr>
          <w:rStyle w:val="FootnoteReference"/>
          <w:rFonts w:cstheme="minorHAnsi"/>
        </w:rPr>
        <w:footnoteReference w:id="1"/>
      </w:r>
      <w:r w:rsidRPr="00564212">
        <w:rPr>
          <w:rFonts w:cstheme="minorHAnsi"/>
          <w:lang w:val="en-US"/>
        </w:rPr>
        <w:tab/>
        <w:t>Pieter Bakx</w:t>
      </w:r>
      <w:r w:rsidRPr="003775CA">
        <w:rPr>
          <w:rStyle w:val="FootnoteReference"/>
          <w:rFonts w:cstheme="minorHAnsi"/>
        </w:rPr>
        <w:footnoteReference w:id="2"/>
      </w:r>
      <w:r w:rsidRPr="00564212">
        <w:rPr>
          <w:rFonts w:cstheme="minorHAnsi"/>
          <w:lang w:val="en-US"/>
        </w:rPr>
        <w:tab/>
        <w:t>Eddy van Doorslaer</w:t>
      </w:r>
      <w:r w:rsidRPr="003775CA">
        <w:rPr>
          <w:rStyle w:val="FootnoteReference"/>
          <w:rFonts w:cstheme="minorHAnsi"/>
        </w:rPr>
        <w:footnoteReference w:id="3"/>
      </w:r>
    </w:p>
    <w:p w14:paraId="42CB8E6F" w14:textId="374F91BD" w:rsidR="00F5298C" w:rsidRPr="003775CA" w:rsidRDefault="00F5298C" w:rsidP="00CF7526">
      <w:pPr>
        <w:spacing w:before="120" w:after="120"/>
        <w:jc w:val="center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April 2021</w:t>
      </w:r>
    </w:p>
    <w:p w14:paraId="25809059" w14:textId="502E74EE" w:rsidR="00EE52C9" w:rsidRPr="003775CA" w:rsidRDefault="00EE52C9" w:rsidP="00CF7526">
      <w:pPr>
        <w:spacing w:before="120" w:after="120"/>
        <w:rPr>
          <w:rFonts w:cstheme="minorHAnsi"/>
          <w:lang w:val="en-US"/>
        </w:rPr>
      </w:pPr>
    </w:p>
    <w:p w14:paraId="2148BD0F" w14:textId="1229F524" w:rsidR="00EE52C9" w:rsidRPr="003775CA" w:rsidRDefault="00EE52C9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t>Purpose of this document</w:t>
      </w:r>
    </w:p>
    <w:p w14:paraId="6EAE2B29" w14:textId="5CF8433A" w:rsidR="00EE52C9" w:rsidRPr="003775CA" w:rsidRDefault="00EE52C9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The purpose of this document is to </w:t>
      </w:r>
      <w:r w:rsidR="00EA146F" w:rsidRPr="003775CA">
        <w:rPr>
          <w:rFonts w:cstheme="minorHAnsi"/>
          <w:lang w:val="en-US"/>
        </w:rPr>
        <w:t xml:space="preserve">provide an overview of the code that was written as part of the project </w:t>
      </w:r>
      <w:r w:rsidR="00EA146F" w:rsidRPr="003775CA">
        <w:rPr>
          <w:rFonts w:cstheme="minorHAnsi"/>
          <w:i/>
          <w:iCs/>
          <w:lang w:val="en-US"/>
        </w:rPr>
        <w:t>Equity in the Dutch long-term care system</w:t>
      </w:r>
      <w:r w:rsidR="00EA146F" w:rsidRPr="003775CA">
        <w:rPr>
          <w:rFonts w:cstheme="minorHAnsi"/>
          <w:lang w:val="en-US"/>
        </w:rPr>
        <w:t>.</w:t>
      </w:r>
    </w:p>
    <w:p w14:paraId="3B38014E" w14:textId="47552D61" w:rsidR="00560FCA" w:rsidRPr="003775CA" w:rsidRDefault="00560FCA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By making our code open access, we hope it can be used for replication purposes, educational purposes or by any researcher interested in conducting analyses </w:t>
      </w:r>
      <w:proofErr w:type="gramStart"/>
      <w:r w:rsidR="00C7086C" w:rsidRPr="003775CA">
        <w:rPr>
          <w:rFonts w:cstheme="minorHAnsi"/>
          <w:lang w:val="en-US"/>
        </w:rPr>
        <w:t>similar to</w:t>
      </w:r>
      <w:proofErr w:type="gramEnd"/>
      <w:r w:rsidRPr="003775CA">
        <w:rPr>
          <w:rFonts w:cstheme="minorHAnsi"/>
          <w:lang w:val="en-US"/>
        </w:rPr>
        <w:t xml:space="preserve"> the ones we implemented.  </w:t>
      </w:r>
    </w:p>
    <w:p w14:paraId="34064C61" w14:textId="7EABB7E3" w:rsidR="00761BF1" w:rsidRPr="003775CA" w:rsidRDefault="00761BF1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The objective to make our code open access came only </w:t>
      </w:r>
      <w:r w:rsidRPr="009656F6">
        <w:rPr>
          <w:rFonts w:cstheme="minorHAnsi"/>
          <w:i/>
          <w:iCs/>
          <w:lang w:val="en-US"/>
        </w:rPr>
        <w:t>after</w:t>
      </w:r>
      <w:r w:rsidRPr="003775CA">
        <w:rPr>
          <w:rFonts w:cstheme="minorHAnsi"/>
          <w:lang w:val="en-US"/>
        </w:rPr>
        <w:t xml:space="preserve"> the project </w:t>
      </w:r>
      <w:r w:rsidRPr="009656F6">
        <w:rPr>
          <w:rFonts w:cstheme="minorHAnsi"/>
          <w:lang w:val="en-US"/>
        </w:rPr>
        <w:t>was</w:t>
      </w:r>
      <w:r w:rsidRPr="003775CA">
        <w:rPr>
          <w:rFonts w:cstheme="minorHAnsi"/>
          <w:lang w:val="en-US"/>
        </w:rPr>
        <w:t xml:space="preserve"> already to a large extent completed. </w:t>
      </w:r>
      <w:r w:rsidR="00841A17" w:rsidRPr="003775CA">
        <w:rPr>
          <w:rFonts w:cstheme="minorHAnsi"/>
          <w:lang w:val="en-US"/>
        </w:rPr>
        <w:t xml:space="preserve">While this implies that the code may not be optimally designed for this purpose, we have made our best to ensure it can be read and understood by external parties. </w:t>
      </w:r>
      <w:r w:rsidRPr="003775CA">
        <w:rPr>
          <w:rFonts w:cstheme="minorHAnsi"/>
          <w:lang w:val="en-US"/>
        </w:rPr>
        <w:t xml:space="preserve"> </w:t>
      </w:r>
    </w:p>
    <w:p w14:paraId="157769AE" w14:textId="09FFAA38" w:rsidR="00761BF1" w:rsidRPr="003775CA" w:rsidRDefault="00761BF1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If you have any question on the code, any remark or suspicion that there might be an error, please contact us (marianne.tenand.pro[at]gmail.com). </w:t>
      </w:r>
    </w:p>
    <w:p w14:paraId="3392442D" w14:textId="3FD2636F" w:rsidR="00761BF1" w:rsidRPr="003775CA" w:rsidRDefault="00761BF1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t xml:space="preserve">About the project </w:t>
      </w:r>
    </w:p>
    <w:p w14:paraId="7FBE8178" w14:textId="784333EF" w:rsidR="00EA146F" w:rsidRPr="003775CA" w:rsidRDefault="00EA146F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This project was led by Marianne Tenand, Pieter Bakx </w:t>
      </w:r>
      <w:r w:rsidR="00B7708B" w:rsidRPr="003775CA">
        <w:rPr>
          <w:rFonts w:cstheme="minorHAnsi"/>
          <w:lang w:val="en-US"/>
        </w:rPr>
        <w:t>a</w:t>
      </w:r>
      <w:r w:rsidRPr="003775CA">
        <w:rPr>
          <w:rFonts w:cstheme="minorHAnsi"/>
          <w:lang w:val="en-US"/>
        </w:rPr>
        <w:t>nd Eddy van Doorslaer between 2017 and 2020.</w:t>
      </w:r>
      <w:r w:rsidR="009656F6">
        <w:rPr>
          <w:rFonts w:cstheme="minorHAnsi"/>
          <w:lang w:val="en-US"/>
        </w:rPr>
        <w:t xml:space="preserve"> Its</w:t>
      </w:r>
      <w:r w:rsidRPr="003775CA">
        <w:rPr>
          <w:rFonts w:cstheme="minorHAnsi"/>
          <w:lang w:val="en-US"/>
        </w:rPr>
        <w:t xml:space="preserve"> general aim was to assess horizontal inequity in eligibility for and use of long-term care services in the Netherlands, when a unified system of social insurance for long-term care was still in place (reference year: 2012). </w:t>
      </w:r>
    </w:p>
    <w:p w14:paraId="057D19C3" w14:textId="27870DA7" w:rsidR="00560FCA" w:rsidRPr="003775CA" w:rsidRDefault="00560FCA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This is a project in applied economics, relying on econometric methods. </w:t>
      </w:r>
    </w:p>
    <w:p w14:paraId="2EE44405" w14:textId="2722192B" w:rsidR="00EA146F" w:rsidRPr="003775CA" w:rsidRDefault="00EA146F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The results from the empirical analyses </w:t>
      </w:r>
      <w:r w:rsidR="00761BF1" w:rsidRPr="003775CA">
        <w:rPr>
          <w:rFonts w:cstheme="minorHAnsi"/>
          <w:lang w:val="en-US"/>
        </w:rPr>
        <w:t>were published in two scientific articles:</w:t>
      </w:r>
    </w:p>
    <w:p w14:paraId="53FA5C38" w14:textId="7A517C2C" w:rsidR="006945CC" w:rsidRPr="003775CA" w:rsidRDefault="003775CA" w:rsidP="00CF7526">
      <w:pPr>
        <w:pStyle w:val="cdt4ke"/>
        <w:numPr>
          <w:ilvl w:val="0"/>
          <w:numId w:val="2"/>
        </w:numPr>
        <w:spacing w:before="120" w:beforeAutospacing="0" w:after="120" w:afterAutospacing="0"/>
        <w:jc w:val="both"/>
        <w:rPr>
          <w:rFonts w:asciiTheme="minorHAnsi" w:hAnsiTheme="minorHAnsi" w:cstheme="minorHAnsi"/>
          <w:color w:val="212121"/>
          <w:sz w:val="22"/>
          <w:szCs w:val="22"/>
          <w:lang w:val="en-US"/>
        </w:rPr>
      </w:pPr>
      <w:r w:rsidRPr="003775CA">
        <w:rPr>
          <w:rFonts w:asciiTheme="minorHAnsi" w:hAnsiTheme="minorHAnsi" w:cstheme="minorHAnsi"/>
          <w:color w:val="212121"/>
          <w:sz w:val="22"/>
          <w:szCs w:val="22"/>
        </w:rPr>
        <w:t xml:space="preserve">Tenand, M., Bakx, P. &amp; van Doorslaer, E. (2020). </w:t>
      </w:r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“</w:t>
      </w:r>
      <w:r w:rsidR="006945CC" w:rsidRPr="003775CA">
        <w:rPr>
          <w:rStyle w:val="Strong"/>
          <w:rFonts w:asciiTheme="minorHAnsi" w:hAnsiTheme="minorHAnsi" w:cstheme="minorHAnsi"/>
          <w:color w:val="212121"/>
          <w:sz w:val="22"/>
          <w:szCs w:val="22"/>
          <w:lang w:val="en-US"/>
        </w:rPr>
        <w:t>Equal long-term care for equal needs with universal and comprehensive coverage? An assessment using Dutch administrative data</w:t>
      </w:r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”, </w:t>
      </w:r>
      <w:r w:rsidR="006945CC" w:rsidRPr="003775CA">
        <w:rPr>
          <w:rStyle w:val="Strong"/>
          <w:rFonts w:asciiTheme="minorHAnsi" w:hAnsiTheme="minorHAnsi" w:cstheme="minorHAnsi"/>
          <w:i/>
          <w:iCs/>
          <w:sz w:val="22"/>
          <w:szCs w:val="22"/>
          <w:lang w:val="en-US"/>
        </w:rPr>
        <w:t>Health Economics</w:t>
      </w:r>
      <w:r w:rsidR="006945CC" w:rsidRPr="003775CA">
        <w:rPr>
          <w:rStyle w:val="Emphasis"/>
          <w:rFonts w:asciiTheme="minorHAnsi" w:hAnsiTheme="minorHAnsi" w:cstheme="minorHAnsi"/>
          <w:sz w:val="22"/>
          <w:szCs w:val="22"/>
          <w:lang w:val="en-US"/>
        </w:rPr>
        <w:t>, </w:t>
      </w:r>
      <w:r w:rsidR="006945CC" w:rsidRPr="003775CA">
        <w:rPr>
          <w:rFonts w:asciiTheme="minorHAnsi" w:hAnsiTheme="minorHAnsi" w:cstheme="minorHAnsi"/>
          <w:sz w:val="22"/>
          <w:szCs w:val="22"/>
          <w:lang w:val="en-US"/>
        </w:rPr>
        <w:t>29</w:t>
      </w:r>
      <w:r>
        <w:rPr>
          <w:rFonts w:asciiTheme="minorHAnsi" w:hAnsiTheme="minorHAnsi" w:cstheme="minorHAnsi"/>
          <w:sz w:val="22"/>
          <w:szCs w:val="22"/>
          <w:lang w:val="en-US"/>
        </w:rPr>
        <w:t>(4)</w:t>
      </w:r>
      <w:r w:rsidR="006945CC" w:rsidRPr="003775CA">
        <w:rPr>
          <w:rFonts w:asciiTheme="minorHAnsi" w:hAnsiTheme="minorHAnsi" w:cstheme="minorHAnsi"/>
          <w:sz w:val="22"/>
          <w:szCs w:val="22"/>
          <w:lang w:val="en-US"/>
        </w:rPr>
        <w:t>:435</w:t>
      </w:r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–451</w:t>
      </w:r>
      <w:r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. </w:t>
      </w:r>
      <w:hyperlink r:id="rId8" w:history="1">
        <w:r w:rsidRPr="003775CA">
          <w:rPr>
            <w:rStyle w:val="Hyperlink"/>
            <w:rFonts w:asciiTheme="minorHAnsi" w:hAnsiTheme="minorHAnsi" w:cstheme="minorHAnsi"/>
            <w:color w:val="005274"/>
            <w:sz w:val="22"/>
            <w:szCs w:val="22"/>
            <w:u w:val="none"/>
            <w:shd w:val="clear" w:color="auto" w:fill="FFFFFF"/>
            <w:lang w:val="en-US"/>
          </w:rPr>
          <w:t>https://doi.org/10.1002/hec.3994</w:t>
        </w:r>
      </w:hyperlink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 [</w:t>
      </w:r>
      <w:hyperlink r:id="rId9" w:tgtFrame="_blank" w:history="1">
        <w:r w:rsidR="006945CC" w:rsidRPr="003775CA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Article Open Access</w:t>
        </w:r>
      </w:hyperlink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] [</w:t>
      </w:r>
      <w:hyperlink r:id="rId10" w:tgtFrame="_blank" w:history="1">
        <w:r w:rsidR="006945CC" w:rsidRPr="003775CA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Supplementary Material</w:t>
        </w:r>
      </w:hyperlink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]</w:t>
      </w:r>
    </w:p>
    <w:p w14:paraId="43734432" w14:textId="452C3DF4" w:rsidR="003775CA" w:rsidRPr="003775CA" w:rsidRDefault="006945CC" w:rsidP="003775CA">
      <w:pPr>
        <w:pStyle w:val="cdt4ke"/>
        <w:spacing w:before="120" w:beforeAutospacing="0" w:after="120" w:afterAutospacing="0"/>
        <w:ind w:left="720"/>
        <w:jc w:val="both"/>
        <w:rPr>
          <w:rFonts w:asciiTheme="minorHAnsi" w:hAnsiTheme="minorHAnsi" w:cstheme="minorHAnsi"/>
          <w:color w:val="212121"/>
          <w:sz w:val="22"/>
          <w:szCs w:val="22"/>
          <w:lang w:val="en-US"/>
        </w:rPr>
      </w:pPr>
      <w:r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In this document, we refer to this article as </w:t>
      </w:r>
      <w:r w:rsidRPr="009656F6">
        <w:rPr>
          <w:rFonts w:asciiTheme="minorHAnsi" w:hAnsiTheme="minorHAnsi" w:cstheme="minorHAnsi"/>
          <w:b/>
          <w:bCs/>
          <w:color w:val="212121"/>
          <w:sz w:val="22"/>
          <w:szCs w:val="22"/>
          <w:lang w:val="en-US"/>
        </w:rPr>
        <w:t>[Equity Paper 1]</w:t>
      </w:r>
      <w:r w:rsidR="009656F6">
        <w:rPr>
          <w:rFonts w:asciiTheme="minorHAnsi" w:hAnsiTheme="minorHAnsi" w:cstheme="minorHAnsi"/>
          <w:b/>
          <w:bCs/>
          <w:color w:val="212121"/>
          <w:sz w:val="22"/>
          <w:szCs w:val="22"/>
          <w:lang w:val="en-US"/>
        </w:rPr>
        <w:t>.</w:t>
      </w:r>
    </w:p>
    <w:p w14:paraId="78BB0E77" w14:textId="7B8279C4" w:rsidR="006945CC" w:rsidRPr="003775CA" w:rsidRDefault="003775CA" w:rsidP="003775CA">
      <w:pPr>
        <w:pStyle w:val="cdt4ke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theme="minorHAnsi"/>
          <w:color w:val="767676"/>
          <w:sz w:val="22"/>
          <w:szCs w:val="22"/>
          <w:lang w:val="en-US"/>
        </w:rPr>
      </w:pPr>
      <w:r w:rsidRPr="003775CA">
        <w:rPr>
          <w:rFonts w:asciiTheme="minorHAnsi" w:hAnsiTheme="minorHAnsi" w:cstheme="minorHAnsi"/>
          <w:color w:val="212121"/>
          <w:sz w:val="22"/>
          <w:szCs w:val="22"/>
        </w:rPr>
        <w:t xml:space="preserve">Tenand, M., Bakx, P. &amp; van Doorslaer, E. (2020). </w:t>
      </w:r>
      <w:r w:rsidR="006945CC" w:rsidRPr="003775CA">
        <w:rPr>
          <w:rFonts w:asciiTheme="minorHAnsi" w:hAnsiTheme="minorHAnsi" w:cstheme="minorHAnsi"/>
          <w:sz w:val="22"/>
          <w:szCs w:val="22"/>
          <w:lang w:val="en-US"/>
        </w:rPr>
        <w:t>"</w:t>
      </w:r>
      <w:r w:rsidR="006945CC" w:rsidRPr="003775CA">
        <w:rPr>
          <w:rStyle w:val="Strong"/>
          <w:rFonts w:asciiTheme="minorHAnsi" w:hAnsiTheme="minorHAnsi" w:cstheme="minorHAnsi"/>
          <w:sz w:val="22"/>
          <w:szCs w:val="22"/>
          <w:lang w:val="en-US"/>
        </w:rPr>
        <w:t>Eligibility or use? Disentangling the sources of horizontal inequity in home care receipt in the Netherlands</w:t>
      </w:r>
      <w:r w:rsidR="006945CC" w:rsidRPr="003775CA">
        <w:rPr>
          <w:rFonts w:asciiTheme="minorHAnsi" w:hAnsiTheme="minorHAnsi" w:cstheme="minorHAnsi"/>
          <w:sz w:val="22"/>
          <w:szCs w:val="22"/>
          <w:lang w:val="en-US"/>
        </w:rPr>
        <w:t>", </w:t>
      </w:r>
      <w:hyperlink r:id="rId11" w:tgtFrame="_blank" w:history="1">
        <w:r w:rsidR="006945CC" w:rsidRPr="003775CA">
          <w:rPr>
            <w:rStyle w:val="Strong"/>
            <w:rFonts w:asciiTheme="minorHAnsi" w:hAnsiTheme="minorHAnsi" w:cstheme="minorHAnsi"/>
            <w:i/>
            <w:iCs/>
            <w:sz w:val="22"/>
            <w:szCs w:val="22"/>
            <w:lang w:val="en-US"/>
          </w:rPr>
          <w:t>Health Economics</w:t>
        </w:r>
      </w:hyperlink>
      <w:r w:rsidR="006945CC" w:rsidRPr="003775CA">
        <w:rPr>
          <w:rFonts w:asciiTheme="minorHAnsi" w:hAnsiTheme="minorHAnsi" w:cstheme="minorHAnsi"/>
          <w:sz w:val="22"/>
          <w:szCs w:val="22"/>
          <w:lang w:val="en-US"/>
        </w:rPr>
        <w:t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29(10):1161-1179.</w:t>
      </w:r>
      <w:r w:rsidRPr="003775CA">
        <w:rPr>
          <w:rFonts w:asciiTheme="minorHAnsi" w:hAnsiTheme="minorHAnsi" w:cstheme="minorHAnsi"/>
          <w:color w:val="767676"/>
          <w:sz w:val="22"/>
          <w:szCs w:val="22"/>
          <w:shd w:val="clear" w:color="auto" w:fill="FFFFFF"/>
          <w:lang w:val="en-US"/>
        </w:rPr>
        <w:t> </w:t>
      </w:r>
      <w:hyperlink r:id="rId12" w:history="1">
        <w:r w:rsidRPr="003775CA">
          <w:rPr>
            <w:rStyle w:val="Hyperlink"/>
            <w:rFonts w:asciiTheme="minorHAnsi" w:hAnsiTheme="minorHAnsi" w:cstheme="minorHAnsi"/>
            <w:color w:val="005274"/>
            <w:sz w:val="22"/>
            <w:szCs w:val="22"/>
            <w:u w:val="none"/>
            <w:lang w:val="en-US"/>
          </w:rPr>
          <w:t>https://doi.org/10.1002/hec.4126</w:t>
        </w:r>
      </w:hyperlink>
      <w:r w:rsidR="006945CC" w:rsidRPr="003775CA">
        <w:rPr>
          <w:rFonts w:asciiTheme="minorHAnsi" w:hAnsiTheme="minorHAnsi" w:cstheme="minorHAnsi"/>
          <w:b/>
          <w:bCs/>
          <w:color w:val="212121"/>
          <w:sz w:val="22"/>
          <w:szCs w:val="22"/>
          <w:lang w:val="en-US"/>
        </w:rPr>
        <w:t xml:space="preserve"> </w:t>
      </w:r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[</w:t>
      </w:r>
      <w:hyperlink r:id="rId13" w:tgtFrame="_blank" w:history="1">
        <w:r w:rsidR="006945CC" w:rsidRPr="003775CA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Article Open Access</w:t>
        </w:r>
      </w:hyperlink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] [</w:t>
      </w:r>
      <w:hyperlink r:id="rId14" w:tgtFrame="_blank" w:history="1">
        <w:r w:rsidR="006945CC" w:rsidRPr="003775CA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Supplementary Material</w:t>
        </w:r>
      </w:hyperlink>
      <w:r w:rsidR="006945CC"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].</w:t>
      </w:r>
    </w:p>
    <w:p w14:paraId="3B26EE0E" w14:textId="4D51834B" w:rsidR="006945CC" w:rsidRPr="003775CA" w:rsidRDefault="006945CC" w:rsidP="00CF7526">
      <w:pPr>
        <w:pStyle w:val="cdt4ke"/>
        <w:spacing w:before="120" w:beforeAutospacing="0" w:after="120" w:afterAutospacing="0"/>
        <w:ind w:left="720"/>
        <w:jc w:val="both"/>
        <w:rPr>
          <w:rFonts w:asciiTheme="minorHAnsi" w:hAnsiTheme="minorHAnsi" w:cstheme="minorHAnsi"/>
          <w:color w:val="212121"/>
          <w:sz w:val="22"/>
          <w:szCs w:val="22"/>
          <w:lang w:val="en-US"/>
        </w:rPr>
      </w:pPr>
      <w:r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In this document, we refer to this article as </w:t>
      </w:r>
      <w:r w:rsidRPr="009656F6">
        <w:rPr>
          <w:rFonts w:asciiTheme="minorHAnsi" w:hAnsiTheme="minorHAnsi" w:cstheme="minorHAnsi"/>
          <w:b/>
          <w:bCs/>
          <w:color w:val="212121"/>
          <w:sz w:val="22"/>
          <w:szCs w:val="22"/>
          <w:lang w:val="en-US"/>
        </w:rPr>
        <w:t>[Equity Paper 2]</w:t>
      </w:r>
      <w:r w:rsidR="009656F6">
        <w:rPr>
          <w:rFonts w:asciiTheme="minorHAnsi" w:hAnsiTheme="minorHAnsi" w:cstheme="minorHAnsi"/>
          <w:b/>
          <w:bCs/>
          <w:color w:val="212121"/>
          <w:sz w:val="22"/>
          <w:szCs w:val="22"/>
          <w:lang w:val="en-US"/>
        </w:rPr>
        <w:t>.</w:t>
      </w:r>
    </w:p>
    <w:p w14:paraId="426EED06" w14:textId="76E80A9C" w:rsidR="00F524DF" w:rsidRPr="003775CA" w:rsidRDefault="00F524DF" w:rsidP="009656F6">
      <w:pPr>
        <w:pStyle w:val="cdt4ke"/>
        <w:spacing w:before="120" w:beforeAutospacing="0" w:after="120" w:afterAutospacing="0"/>
        <w:ind w:firstLine="360"/>
        <w:jc w:val="both"/>
        <w:rPr>
          <w:rFonts w:asciiTheme="minorHAnsi" w:hAnsiTheme="minorHAnsi" w:cstheme="minorHAnsi"/>
          <w:color w:val="212121"/>
          <w:sz w:val="22"/>
          <w:szCs w:val="22"/>
          <w:lang w:val="en-US"/>
        </w:rPr>
      </w:pPr>
      <w:r w:rsidRPr="003775CA">
        <w:rPr>
          <w:rFonts w:asciiTheme="minorHAnsi" w:hAnsiTheme="minorHAnsi" w:cstheme="minorHAnsi"/>
          <w:color w:val="212121"/>
          <w:sz w:val="22"/>
          <w:szCs w:val="22"/>
          <w:lang w:val="en-US"/>
        </w:rPr>
        <w:t>Description of the analyses can be found in these publications and their Supplementary Materials.</w:t>
      </w:r>
    </w:p>
    <w:p w14:paraId="0B10504B" w14:textId="77777777" w:rsidR="006945CC" w:rsidRPr="003775CA" w:rsidRDefault="006945CC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lastRenderedPageBreak/>
        <w:t xml:space="preserve">Licensing </w:t>
      </w:r>
    </w:p>
    <w:p w14:paraId="35EA0511" w14:textId="4B26C34A" w:rsidR="003775CA" w:rsidRPr="003775CA" w:rsidRDefault="006945CC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The code</w:t>
      </w:r>
      <w:r w:rsidR="002D0DF1" w:rsidRPr="003775CA">
        <w:rPr>
          <w:rFonts w:cstheme="minorHAnsi"/>
          <w:lang w:val="en-US"/>
        </w:rPr>
        <w:t xml:space="preserve"> is licensed under a </w:t>
      </w:r>
      <w:r w:rsidR="002D0DF1" w:rsidRPr="003775CA">
        <w:rPr>
          <w:rFonts w:cstheme="minorHAnsi"/>
          <w:color w:val="202122"/>
          <w:shd w:val="clear" w:color="auto" w:fill="FFFFFF"/>
          <w:lang w:val="en-US"/>
        </w:rPr>
        <w:t xml:space="preserve">Creative Commons </w:t>
      </w:r>
      <w:proofErr w:type="gramStart"/>
      <w:r w:rsidR="002D0DF1" w:rsidRPr="003775CA">
        <w:rPr>
          <w:rFonts w:cstheme="minorHAnsi"/>
          <w:color w:val="202122"/>
          <w:shd w:val="clear" w:color="auto" w:fill="FFFFFF"/>
          <w:lang w:val="en-US"/>
        </w:rPr>
        <w:t>Non Commercial</w:t>
      </w:r>
      <w:proofErr w:type="gramEnd"/>
      <w:r w:rsidR="002D0DF1" w:rsidRPr="003775CA">
        <w:rPr>
          <w:rFonts w:cstheme="minorHAnsi"/>
          <w:color w:val="202122"/>
          <w:shd w:val="clear" w:color="auto" w:fill="FFFFFF"/>
          <w:lang w:val="en-US"/>
        </w:rPr>
        <w:t> license (</w:t>
      </w:r>
      <w:r w:rsidR="002D0DF1" w:rsidRPr="003775CA">
        <w:rPr>
          <w:rFonts w:cstheme="minorHAnsi"/>
          <w:lang w:val="en-US"/>
        </w:rPr>
        <w:t>CC-BY-NC)</w:t>
      </w:r>
      <w:r w:rsidR="002D0DF1" w:rsidRPr="003775CA">
        <w:rPr>
          <w:rFonts w:cstheme="minorHAnsi"/>
          <w:color w:val="202122"/>
          <w:shd w:val="clear" w:color="auto" w:fill="FFFFFF"/>
          <w:lang w:val="en-US"/>
        </w:rPr>
        <w:t>: it</w:t>
      </w:r>
      <w:r w:rsidRPr="003775CA">
        <w:rPr>
          <w:rFonts w:cstheme="minorHAnsi"/>
          <w:lang w:val="en-US"/>
        </w:rPr>
        <w:t xml:space="preserve"> can be freely reused</w:t>
      </w:r>
      <w:r w:rsidR="00D16BB6">
        <w:rPr>
          <w:rFonts w:cstheme="minorHAnsi"/>
          <w:lang w:val="en-US"/>
        </w:rPr>
        <w:t>, in particular for scientific publications, provided the two following conditions are fulfilled</w:t>
      </w:r>
      <w:r w:rsidR="003775CA" w:rsidRPr="003775CA">
        <w:rPr>
          <w:rFonts w:cstheme="minorHAnsi"/>
          <w:lang w:val="en-US"/>
        </w:rPr>
        <w:t>:</w:t>
      </w:r>
    </w:p>
    <w:p w14:paraId="0BE5067F" w14:textId="4758C2CA" w:rsidR="006945CC" w:rsidRPr="003775CA" w:rsidRDefault="003775CA" w:rsidP="003775CA">
      <w:pPr>
        <w:pStyle w:val="ListParagraph"/>
        <w:numPr>
          <w:ilvl w:val="0"/>
          <w:numId w:val="2"/>
        </w:numPr>
        <w:spacing w:before="120" w:after="12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The document</w:t>
      </w:r>
      <w:r w:rsidR="006945CC" w:rsidRPr="003775CA">
        <w:rPr>
          <w:rFonts w:cstheme="minorHAnsi"/>
          <w:lang w:val="en-US"/>
        </w:rPr>
        <w:t xml:space="preserve"> is appropriately referred to</w:t>
      </w:r>
      <w:r w:rsidRPr="003775CA">
        <w:rPr>
          <w:rFonts w:cstheme="minorHAnsi"/>
          <w:lang w:val="en-US"/>
        </w:rPr>
        <w:t xml:space="preserve"> as:</w:t>
      </w:r>
    </w:p>
    <w:p w14:paraId="66FE5378" w14:textId="5D379E4D" w:rsidR="002D0DF1" w:rsidRPr="00564212" w:rsidRDefault="002D0DF1" w:rsidP="00BF0797">
      <w:pPr>
        <w:spacing w:before="120" w:after="120"/>
        <w:ind w:left="360"/>
        <w:jc w:val="center"/>
        <w:rPr>
          <w:rFonts w:cstheme="minorHAnsi"/>
          <w:b/>
          <w:bCs/>
          <w:color w:val="7030A0"/>
          <w:lang w:val="en-US"/>
        </w:rPr>
      </w:pPr>
      <w:r w:rsidRPr="00564212">
        <w:rPr>
          <w:rFonts w:cstheme="minorHAnsi"/>
          <w:color w:val="7030A0"/>
        </w:rPr>
        <w:t xml:space="preserve">Tenand, M., Bakx, P. &amp; van </w:t>
      </w:r>
      <w:proofErr w:type="spellStart"/>
      <w:r w:rsidRPr="00564212">
        <w:rPr>
          <w:rFonts w:cstheme="minorHAnsi"/>
          <w:color w:val="7030A0"/>
        </w:rPr>
        <w:t>Doorsaler</w:t>
      </w:r>
      <w:proofErr w:type="spellEnd"/>
      <w:r w:rsidRPr="00564212">
        <w:rPr>
          <w:rFonts w:cstheme="minorHAnsi"/>
          <w:color w:val="7030A0"/>
        </w:rPr>
        <w:t>, E. (2021).</w:t>
      </w:r>
      <w:r w:rsidRPr="00564212">
        <w:rPr>
          <w:rFonts w:cstheme="minorHAnsi"/>
          <w:b/>
          <w:bCs/>
          <w:color w:val="7030A0"/>
        </w:rPr>
        <w:t xml:space="preserve"> </w:t>
      </w:r>
      <w:r w:rsidRPr="00564212">
        <w:rPr>
          <w:rFonts w:cstheme="minorHAnsi"/>
          <w:b/>
          <w:bCs/>
          <w:color w:val="7030A0"/>
          <w:lang w:val="en-US"/>
        </w:rPr>
        <w:t>“</w:t>
      </w:r>
      <w:r w:rsidR="009656F6" w:rsidRPr="00564212">
        <w:rPr>
          <w:rFonts w:cstheme="minorHAnsi"/>
          <w:b/>
          <w:bCs/>
          <w:color w:val="7030A0"/>
          <w:lang w:val="en-US"/>
        </w:rPr>
        <w:t xml:space="preserve">README. </w:t>
      </w:r>
      <w:r w:rsidRPr="00564212">
        <w:rPr>
          <w:rFonts w:cstheme="minorHAnsi"/>
          <w:b/>
          <w:bCs/>
          <w:color w:val="7030A0"/>
          <w:lang w:val="en-US"/>
        </w:rPr>
        <w:t>Project `Equity in the Dutch long-term care system’: overview of code</w:t>
      </w:r>
      <w:r w:rsidR="00BF0797" w:rsidRPr="00564212">
        <w:rPr>
          <w:rFonts w:cstheme="minorHAnsi"/>
          <w:b/>
          <w:bCs/>
          <w:color w:val="7030A0"/>
          <w:lang w:val="en-US"/>
        </w:rPr>
        <w:t xml:space="preserve"> and input</w:t>
      </w:r>
      <w:r w:rsidRPr="00564212">
        <w:rPr>
          <w:rFonts w:cstheme="minorHAnsi"/>
          <w:color w:val="7030A0"/>
          <w:lang w:val="en-US"/>
        </w:rPr>
        <w:t>”</w:t>
      </w:r>
      <w:r w:rsidR="00564212" w:rsidRPr="00564212">
        <w:rPr>
          <w:rFonts w:cstheme="minorHAnsi"/>
          <w:color w:val="7030A0"/>
          <w:lang w:val="en-US"/>
        </w:rPr>
        <w:t xml:space="preserve">, DOI: </w:t>
      </w:r>
      <w:r w:rsidR="00564212" w:rsidRPr="00564212">
        <w:rPr>
          <w:color w:val="7030A0"/>
          <w:lang w:val="en-US"/>
        </w:rPr>
        <w:t>10.25397/eur.14394068</w:t>
      </w:r>
      <w:r w:rsidR="00564212" w:rsidRPr="00564212">
        <w:rPr>
          <w:b/>
          <w:bCs/>
          <w:color w:val="7030A0"/>
          <w:lang w:val="en-US"/>
        </w:rPr>
        <w:t xml:space="preserve"> </w:t>
      </w:r>
    </w:p>
    <w:p w14:paraId="7F9E9876" w14:textId="0B930935" w:rsidR="00F524DF" w:rsidRPr="003775CA" w:rsidRDefault="002D0DF1" w:rsidP="002D0DF1">
      <w:pPr>
        <w:spacing w:before="120" w:after="120"/>
        <w:ind w:left="360"/>
        <w:jc w:val="center"/>
        <w:rPr>
          <w:rFonts w:cstheme="minorHAnsi"/>
          <w:lang w:val="en-US"/>
        </w:rPr>
      </w:pPr>
      <w:r w:rsidRPr="003775CA">
        <w:rPr>
          <w:rFonts w:cstheme="minorHAnsi"/>
          <w:noProof/>
          <w:lang w:val="en-US"/>
        </w:rPr>
        <w:drawing>
          <wp:inline distT="0" distB="0" distL="0" distR="0" wp14:anchorId="22D4F485" wp14:editId="13DEA316">
            <wp:extent cx="1341821" cy="471128"/>
            <wp:effectExtent l="0" t="0" r="0" b="5715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12" cy="47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25E4B" w14:textId="12A46679" w:rsidR="003775CA" w:rsidRPr="003775CA" w:rsidRDefault="003775CA" w:rsidP="003775CA">
      <w:pPr>
        <w:pStyle w:val="ListParagraph"/>
        <w:numPr>
          <w:ilvl w:val="0"/>
          <w:numId w:val="2"/>
        </w:numPr>
        <w:spacing w:before="120" w:after="12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lang w:val="en-US"/>
        </w:rPr>
        <w:t xml:space="preserve">The relevant scientific publication is referred to </w:t>
      </w:r>
      <w:r w:rsidR="00D16BB6">
        <w:rPr>
          <w:rFonts w:cstheme="minorHAnsi"/>
          <w:lang w:val="en-US"/>
        </w:rPr>
        <w:t xml:space="preserve">(either [Equity Paper 1] or [Equity Paper 2], </w:t>
      </w:r>
      <w:proofErr w:type="gramStart"/>
      <w:r w:rsidR="00D16BB6">
        <w:rPr>
          <w:rFonts w:cstheme="minorHAnsi"/>
          <w:lang w:val="en-US"/>
        </w:rPr>
        <w:t xml:space="preserve">as </w:t>
      </w:r>
      <w:r w:rsidRPr="003775CA">
        <w:rPr>
          <w:rFonts w:cstheme="minorHAnsi"/>
          <w:lang w:val="en-US"/>
        </w:rPr>
        <w:t xml:space="preserve"> </w:t>
      </w:r>
      <w:r w:rsidR="00D16BB6">
        <w:rPr>
          <w:rFonts w:cstheme="minorHAnsi"/>
          <w:lang w:val="en-US"/>
        </w:rPr>
        <w:t>described</w:t>
      </w:r>
      <w:proofErr w:type="gramEnd"/>
      <w:r w:rsidR="00D16BB6">
        <w:rPr>
          <w:rFonts w:cstheme="minorHAnsi"/>
          <w:lang w:val="en-US"/>
        </w:rPr>
        <w:t xml:space="preserve"> above). </w:t>
      </w:r>
    </w:p>
    <w:p w14:paraId="04402D99" w14:textId="77777777" w:rsidR="003775CA" w:rsidRPr="003775CA" w:rsidRDefault="003775CA" w:rsidP="003775CA">
      <w:pPr>
        <w:pStyle w:val="ListParagraph"/>
        <w:spacing w:before="120" w:after="120"/>
        <w:jc w:val="both"/>
        <w:rPr>
          <w:rFonts w:cstheme="minorHAnsi"/>
          <w:b/>
          <w:bCs/>
          <w:lang w:val="en-US"/>
        </w:rPr>
      </w:pPr>
    </w:p>
    <w:p w14:paraId="1EBA7DC6" w14:textId="20102C50" w:rsidR="00EE52C9" w:rsidRPr="003775CA" w:rsidRDefault="00EE52C9" w:rsidP="003775CA">
      <w:pPr>
        <w:pStyle w:val="ListParagraph"/>
        <w:numPr>
          <w:ilvl w:val="0"/>
          <w:numId w:val="1"/>
        </w:numPr>
        <w:spacing w:before="120" w:after="12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t xml:space="preserve">Software </w:t>
      </w:r>
      <w:r w:rsidR="00761BF1" w:rsidRPr="003775CA">
        <w:rPr>
          <w:rFonts w:cstheme="minorHAnsi"/>
          <w:b/>
          <w:bCs/>
          <w:lang w:val="en-US"/>
        </w:rPr>
        <w:t>used</w:t>
      </w:r>
    </w:p>
    <w:p w14:paraId="532D2022" w14:textId="064E7123" w:rsidR="00761BF1" w:rsidRPr="003775CA" w:rsidRDefault="00761BF1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We used software Stata. The code is written in </w:t>
      </w:r>
      <w:proofErr w:type="spellStart"/>
      <w:r w:rsidRPr="003775CA">
        <w:rPr>
          <w:rFonts w:cstheme="minorHAnsi"/>
          <w:i/>
          <w:iCs/>
          <w:lang w:val="en-US"/>
        </w:rPr>
        <w:t>dofiles</w:t>
      </w:r>
      <w:proofErr w:type="spellEnd"/>
      <w:r w:rsidRPr="003775CA">
        <w:rPr>
          <w:rFonts w:cstheme="minorHAnsi"/>
          <w:lang w:val="en-US"/>
        </w:rPr>
        <w:t xml:space="preserve"> (files .do). Data is created </w:t>
      </w:r>
      <w:r w:rsidR="00841A17" w:rsidRPr="003775CA">
        <w:rPr>
          <w:rFonts w:cstheme="minorHAnsi"/>
          <w:lang w:val="en-US"/>
        </w:rPr>
        <w:t xml:space="preserve">in </w:t>
      </w:r>
      <w:proofErr w:type="gramStart"/>
      <w:r w:rsidR="00841A17" w:rsidRPr="003775CA">
        <w:rPr>
          <w:rFonts w:cstheme="minorHAnsi"/>
          <w:lang w:val="en-US"/>
        </w:rPr>
        <w:t>format .</w:t>
      </w:r>
      <w:proofErr w:type="spellStart"/>
      <w:r w:rsidR="00841A17" w:rsidRPr="003775CA">
        <w:rPr>
          <w:rFonts w:cstheme="minorHAnsi"/>
          <w:lang w:val="en-US"/>
        </w:rPr>
        <w:t>dta</w:t>
      </w:r>
      <w:proofErr w:type="spellEnd"/>
      <w:proofErr w:type="gramEnd"/>
      <w:r w:rsidR="00841A17" w:rsidRPr="003775CA">
        <w:rPr>
          <w:rFonts w:cstheme="minorHAnsi"/>
          <w:lang w:val="en-US"/>
        </w:rPr>
        <w:t xml:space="preserve">. </w:t>
      </w:r>
    </w:p>
    <w:p w14:paraId="484098B0" w14:textId="1B8DB05A" w:rsidR="00841A17" w:rsidRPr="003775CA" w:rsidRDefault="00841A17" w:rsidP="00CF7526">
      <w:pPr>
        <w:spacing w:before="120" w:after="120"/>
        <w:jc w:val="both"/>
        <w:rPr>
          <w:rFonts w:cstheme="minorHAnsi"/>
          <w:b/>
          <w:bCs/>
          <w:lang w:val="en-US"/>
        </w:rPr>
      </w:pPr>
    </w:p>
    <w:p w14:paraId="6B5CDCE8" w14:textId="095953A3" w:rsidR="00EE52C9" w:rsidRDefault="00EE52C9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proofErr w:type="spellStart"/>
      <w:r w:rsidRPr="003775CA">
        <w:rPr>
          <w:rFonts w:cstheme="minorHAnsi"/>
          <w:b/>
          <w:bCs/>
          <w:lang w:val="en-US"/>
        </w:rPr>
        <w:t>Dofiles</w:t>
      </w:r>
      <w:proofErr w:type="spellEnd"/>
      <w:r w:rsidRPr="003775CA">
        <w:rPr>
          <w:rFonts w:cstheme="minorHAnsi"/>
          <w:b/>
          <w:bCs/>
          <w:lang w:val="en-US"/>
        </w:rPr>
        <w:t xml:space="preserve"> allowing the creation of the datasets used for [Equity paper 1]</w:t>
      </w:r>
    </w:p>
    <w:p w14:paraId="42EA4F7C" w14:textId="2C2E54C7" w:rsidR="00AE4967" w:rsidRPr="00AE4967" w:rsidRDefault="00AE4967" w:rsidP="00AE4967">
      <w:pPr>
        <w:spacing w:before="120" w:after="120"/>
        <w:ind w:left="36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 </w:t>
      </w:r>
      <w:proofErr w:type="spellStart"/>
      <w:r>
        <w:rPr>
          <w:rFonts w:cstheme="minorHAnsi"/>
          <w:lang w:val="en-US"/>
        </w:rPr>
        <w:t>dofile</w:t>
      </w:r>
      <w:proofErr w:type="spellEnd"/>
      <w:r>
        <w:rPr>
          <w:rFonts w:cstheme="minorHAnsi"/>
          <w:lang w:val="en-US"/>
        </w:rPr>
        <w:t xml:space="preserve"> can be found using the following DOI: </w:t>
      </w:r>
      <w:r w:rsidRPr="00AE4967">
        <w:rPr>
          <w:lang w:val="en-US"/>
        </w:rPr>
        <w:t>10.25397/eur.14394158</w:t>
      </w:r>
    </w:p>
    <w:p w14:paraId="18F05F06" w14:textId="2DFB0137" w:rsidR="00053D68" w:rsidRPr="003775CA" w:rsidRDefault="00053D68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[Equity Paper 1] leverages a rich set of administrative data. </w:t>
      </w:r>
    </w:p>
    <w:p w14:paraId="60BD5673" w14:textId="7F9DB054" w:rsidR="00C7086C" w:rsidRPr="003775CA" w:rsidRDefault="00C7086C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A.0.0.Master_phase1.do</w:t>
      </w:r>
      <w:r w:rsidRPr="003775CA">
        <w:rPr>
          <w:rFonts w:cstheme="minorHAnsi"/>
          <w:b/>
          <w:bCs/>
          <w:i/>
          <w:iCs/>
          <w:lang w:val="en-US"/>
        </w:rPr>
        <w:t xml:space="preserve"> </w:t>
      </w:r>
      <w:r w:rsidRPr="003775CA">
        <w:rPr>
          <w:rFonts w:cstheme="minorHAnsi"/>
          <w:lang w:val="en-US"/>
        </w:rPr>
        <w:t xml:space="preserve">is the master </w:t>
      </w:r>
      <w:proofErr w:type="spellStart"/>
      <w:r w:rsidRPr="003775CA">
        <w:rPr>
          <w:rFonts w:cstheme="minorHAnsi"/>
          <w:lang w:val="en-US"/>
        </w:rPr>
        <w:t>dofile</w:t>
      </w:r>
      <w:proofErr w:type="spellEnd"/>
      <w:r w:rsidRPr="003775CA">
        <w:rPr>
          <w:rFonts w:cstheme="minorHAnsi"/>
          <w:lang w:val="en-US"/>
        </w:rPr>
        <w:t xml:space="preserve"> allowing the creation of the datasets that are used to produce the results </w:t>
      </w:r>
      <w:proofErr w:type="gramStart"/>
      <w:r w:rsidRPr="003775CA">
        <w:rPr>
          <w:rFonts w:cstheme="minorHAnsi"/>
          <w:lang w:val="en-US"/>
        </w:rPr>
        <w:t>of  [</w:t>
      </w:r>
      <w:proofErr w:type="gramEnd"/>
      <w:r w:rsidRPr="003775CA">
        <w:rPr>
          <w:rFonts w:cstheme="minorHAnsi"/>
          <w:lang w:val="en-US"/>
        </w:rPr>
        <w:t>Equity paper 1].</w:t>
      </w:r>
    </w:p>
    <w:p w14:paraId="6C03C3C0" w14:textId="24119AFB" w:rsidR="00C7086C" w:rsidRPr="003775CA" w:rsidRDefault="00C7086C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It calls a series of sub-programs</w:t>
      </w:r>
      <w:r w:rsidR="00F221E5" w:rsidRPr="003775CA">
        <w:rPr>
          <w:rFonts w:cstheme="minorHAnsi"/>
          <w:lang w:val="en-US"/>
        </w:rPr>
        <w:t xml:space="preserve"> that link together different administrative sources</w:t>
      </w:r>
      <w:r w:rsidRPr="003775CA">
        <w:rPr>
          <w:rFonts w:cstheme="minorHAnsi"/>
          <w:lang w:val="en-US"/>
        </w:rPr>
        <w:t xml:space="preserve">: </w:t>
      </w:r>
      <w:r w:rsidRPr="003775CA">
        <w:rPr>
          <w:rFonts w:cstheme="minorHAnsi"/>
          <w:highlight w:val="lightGray"/>
          <w:lang w:val="en-US"/>
        </w:rPr>
        <w:t>A.1.Indications.do / A.2.Individual_info.do / A.3.Death.do / A.4.HC_use.do / A.5.IC_use.do / A.6.PB_use.do / A.7.Household_info.do / A.8.Partners.do / A.9.Income.do / A.10.Wealth.do / A.11.Address.do</w:t>
      </w:r>
    </w:p>
    <w:p w14:paraId="03E50AD1" w14:textId="024BF2B0" w:rsidR="00C7086C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Finally, it calls two programs allowing the creation of additional variables, relevant sample selection and the creation of sub-datasets (to be used in different parts of the analysis): </w:t>
      </w:r>
      <w:r w:rsidRPr="003775CA">
        <w:rPr>
          <w:rFonts w:cstheme="minorHAnsi"/>
          <w:highlight w:val="lightGray"/>
          <w:lang w:val="en-US"/>
        </w:rPr>
        <w:t>A.12.Variables_creation.do / A.13.Selection.do / A.14.Subdatasets.do</w:t>
      </w:r>
    </w:p>
    <w:p w14:paraId="36A9FB51" w14:textId="77777777" w:rsidR="00F524DF" w:rsidRPr="003775CA" w:rsidRDefault="00F524DF" w:rsidP="00CF7526">
      <w:pPr>
        <w:spacing w:before="120" w:after="120"/>
        <w:ind w:left="360"/>
        <w:jc w:val="both"/>
        <w:rPr>
          <w:rFonts w:cstheme="minorHAnsi"/>
          <w:i/>
          <w:iCs/>
          <w:lang w:val="en-US"/>
        </w:rPr>
      </w:pPr>
    </w:p>
    <w:p w14:paraId="67102FD4" w14:textId="03238D13" w:rsidR="00EE52C9" w:rsidRPr="003775CA" w:rsidRDefault="00EE52C9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proofErr w:type="spellStart"/>
      <w:r w:rsidRPr="003775CA">
        <w:rPr>
          <w:rFonts w:cstheme="minorHAnsi"/>
          <w:b/>
          <w:bCs/>
          <w:lang w:val="en-US"/>
        </w:rPr>
        <w:t>Dofiles</w:t>
      </w:r>
      <w:proofErr w:type="spellEnd"/>
      <w:r w:rsidRPr="003775CA">
        <w:rPr>
          <w:rFonts w:cstheme="minorHAnsi"/>
          <w:b/>
          <w:bCs/>
          <w:lang w:val="en-US"/>
        </w:rPr>
        <w:t xml:space="preserve"> outputting the results of </w:t>
      </w:r>
      <w:bookmarkStart w:id="0" w:name="_Hlk68110142"/>
      <w:r w:rsidRPr="003775CA">
        <w:rPr>
          <w:rFonts w:cstheme="minorHAnsi"/>
          <w:b/>
          <w:bCs/>
          <w:lang w:val="en-US"/>
        </w:rPr>
        <w:t>[Equity paper 1]</w:t>
      </w:r>
      <w:bookmarkEnd w:id="0"/>
    </w:p>
    <w:p w14:paraId="7A278FF2" w14:textId="321B20CE" w:rsidR="00C7086C" w:rsidRPr="003775CA" w:rsidRDefault="00560FCA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3.</w:t>
      </w:r>
      <w:proofErr w:type="gramStart"/>
      <w:r w:rsidRPr="003775CA">
        <w:rPr>
          <w:rFonts w:cstheme="minorHAnsi"/>
          <w:highlight w:val="lightGray"/>
          <w:lang w:val="en-US"/>
        </w:rPr>
        <w:t>3.Code</w:t>
      </w:r>
      <w:proofErr w:type="gramEnd"/>
      <w:r w:rsidRPr="003775CA">
        <w:rPr>
          <w:rFonts w:cstheme="minorHAnsi"/>
          <w:highlight w:val="lightGray"/>
          <w:lang w:val="en-US"/>
        </w:rPr>
        <w:t>_Article Equity 1_R1.do</w:t>
      </w:r>
      <w:r w:rsidR="00C7086C" w:rsidRPr="003775CA">
        <w:rPr>
          <w:rFonts w:cstheme="minorHAnsi"/>
          <w:b/>
          <w:bCs/>
          <w:i/>
          <w:iCs/>
          <w:lang w:val="en-US"/>
        </w:rPr>
        <w:t xml:space="preserve"> </w:t>
      </w:r>
      <w:r w:rsidR="00C7086C" w:rsidRPr="003775CA">
        <w:rPr>
          <w:rFonts w:cstheme="minorHAnsi"/>
          <w:lang w:val="en-US"/>
        </w:rPr>
        <w:t xml:space="preserve">is the </w:t>
      </w:r>
      <w:proofErr w:type="spellStart"/>
      <w:r w:rsidR="00C7086C" w:rsidRPr="003775CA">
        <w:rPr>
          <w:rFonts w:cstheme="minorHAnsi"/>
          <w:lang w:val="en-US"/>
        </w:rPr>
        <w:t>dofile</w:t>
      </w:r>
      <w:proofErr w:type="spellEnd"/>
      <w:r w:rsidR="00C7086C" w:rsidRPr="003775CA">
        <w:rPr>
          <w:rFonts w:cstheme="minorHAnsi"/>
          <w:lang w:val="en-US"/>
        </w:rPr>
        <w:t xml:space="preserve"> containing the code producing all the descriptive statistics and empirical analyses of [Equity paper 1].</w:t>
      </w:r>
    </w:p>
    <w:p w14:paraId="55C6492A" w14:textId="77777777" w:rsidR="00F524DF" w:rsidRPr="003775CA" w:rsidRDefault="00F524DF" w:rsidP="00CF7526">
      <w:pPr>
        <w:spacing w:before="120" w:after="120"/>
        <w:ind w:left="360"/>
        <w:jc w:val="both"/>
        <w:rPr>
          <w:rFonts w:cstheme="minorHAnsi"/>
          <w:lang w:val="en-US"/>
        </w:rPr>
      </w:pPr>
    </w:p>
    <w:p w14:paraId="5EA6C576" w14:textId="2596F4F0" w:rsidR="00EE52C9" w:rsidRPr="003775CA" w:rsidRDefault="00EE52C9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proofErr w:type="spellStart"/>
      <w:r w:rsidRPr="003775CA">
        <w:rPr>
          <w:rFonts w:cstheme="minorHAnsi"/>
          <w:b/>
          <w:bCs/>
          <w:lang w:val="en-US"/>
        </w:rPr>
        <w:t>Dofiles</w:t>
      </w:r>
      <w:proofErr w:type="spellEnd"/>
      <w:r w:rsidRPr="003775CA">
        <w:rPr>
          <w:rFonts w:cstheme="minorHAnsi"/>
          <w:b/>
          <w:bCs/>
          <w:lang w:val="en-US"/>
        </w:rPr>
        <w:t xml:space="preserve"> allowing the creation of the datasets used for [Equity paper 2]</w:t>
      </w:r>
    </w:p>
    <w:p w14:paraId="73D99F97" w14:textId="0EE32190" w:rsidR="00053D68" w:rsidRPr="003775CA" w:rsidRDefault="00053D68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[Equity Paper 2] leverages a rich set of administrative data, similar to the ones used in [Equity Paper 1</w:t>
      </w:r>
      <w:proofErr w:type="gramStart"/>
      <w:r w:rsidRPr="003775CA">
        <w:rPr>
          <w:rFonts w:cstheme="minorHAnsi"/>
          <w:lang w:val="en-US"/>
        </w:rPr>
        <w:t>].It</w:t>
      </w:r>
      <w:proofErr w:type="gramEnd"/>
      <w:r w:rsidRPr="003775CA">
        <w:rPr>
          <w:rFonts w:cstheme="minorHAnsi"/>
          <w:lang w:val="en-US"/>
        </w:rPr>
        <w:t xml:space="preserve"> additionally linked a large survey conducted in the Netherlands in 2012. </w:t>
      </w:r>
    </w:p>
    <w:p w14:paraId="692F43E3" w14:textId="5484DFB6" w:rsidR="00F221E5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C.Health_monitor.do</w:t>
      </w:r>
      <w:r w:rsidR="00F524DF" w:rsidRPr="003775CA">
        <w:rPr>
          <w:rFonts w:cstheme="minorHAnsi"/>
          <w:lang w:val="en-US"/>
        </w:rPr>
        <w:t xml:space="preserve"> uploads the Health Monitor survey and generate a dataset keeping only the individuals aged 65+. </w:t>
      </w:r>
    </w:p>
    <w:p w14:paraId="7BBC5BF3" w14:textId="52488360" w:rsidR="00225F88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lastRenderedPageBreak/>
        <w:t>B.Master_phase2.do</w:t>
      </w:r>
      <w:r w:rsidR="00225F88" w:rsidRPr="003775CA">
        <w:rPr>
          <w:rFonts w:cstheme="minorHAnsi"/>
          <w:lang w:val="en-US"/>
        </w:rPr>
        <w:t xml:space="preserve"> links the Health Monitory survey information with a range of administrative data sources. </w:t>
      </w:r>
      <w:r w:rsidR="00225F88" w:rsidRPr="003775CA">
        <w:rPr>
          <w:rFonts w:cstheme="minorHAnsi"/>
          <w:u w:val="single"/>
          <w:lang w:val="en-US"/>
        </w:rPr>
        <w:t>This code makes use of datasets created for [Equity Paper 1]</w:t>
      </w:r>
      <w:r w:rsidR="00225F88" w:rsidRPr="003775CA">
        <w:rPr>
          <w:rFonts w:cstheme="minorHAnsi"/>
          <w:lang w:val="en-US"/>
        </w:rPr>
        <w:t>.</w:t>
      </w:r>
    </w:p>
    <w:p w14:paraId="0B53A9FB" w14:textId="32F1B14B" w:rsidR="00F221E5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0.Labels.do</w:t>
      </w:r>
      <w:r w:rsidR="00F524DF" w:rsidRPr="003775CA">
        <w:rPr>
          <w:rFonts w:cstheme="minorHAnsi"/>
          <w:lang w:val="en-US"/>
        </w:rPr>
        <w:t xml:space="preserve"> creates labels for the variables we created. </w:t>
      </w:r>
    </w:p>
    <w:p w14:paraId="7D2B4656" w14:textId="77777777" w:rsidR="00F524DF" w:rsidRPr="003775CA" w:rsidRDefault="00F524DF" w:rsidP="00CF7526">
      <w:pPr>
        <w:spacing w:before="120" w:after="120"/>
        <w:ind w:left="360"/>
        <w:jc w:val="both"/>
        <w:rPr>
          <w:rFonts w:cstheme="minorHAnsi"/>
          <w:lang w:val="en-US"/>
        </w:rPr>
      </w:pPr>
    </w:p>
    <w:p w14:paraId="3EF231D5" w14:textId="02E3EDE4" w:rsidR="00EE52C9" w:rsidRDefault="00EE52C9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proofErr w:type="spellStart"/>
      <w:r w:rsidRPr="003775CA">
        <w:rPr>
          <w:rFonts w:cstheme="minorHAnsi"/>
          <w:b/>
          <w:bCs/>
          <w:lang w:val="en-US"/>
        </w:rPr>
        <w:t>Dofiles</w:t>
      </w:r>
      <w:proofErr w:type="spellEnd"/>
      <w:r w:rsidRPr="003775CA">
        <w:rPr>
          <w:rFonts w:cstheme="minorHAnsi"/>
          <w:b/>
          <w:bCs/>
          <w:lang w:val="en-US"/>
        </w:rPr>
        <w:t xml:space="preserve"> outputting the results of [Equity paper 2]</w:t>
      </w:r>
    </w:p>
    <w:p w14:paraId="7D29E5D8" w14:textId="23B95FA4" w:rsidR="00AE4967" w:rsidRPr="00AE4967" w:rsidRDefault="00AE4967" w:rsidP="00AE4967">
      <w:pPr>
        <w:spacing w:before="120" w:after="120"/>
        <w:ind w:left="360"/>
        <w:jc w:val="both"/>
        <w:rPr>
          <w:rFonts w:cstheme="minorHAnsi"/>
          <w:lang w:val="en-US"/>
        </w:rPr>
      </w:pPr>
      <w:r w:rsidRPr="00AE4967">
        <w:rPr>
          <w:rFonts w:cstheme="minorHAnsi"/>
          <w:lang w:val="en-US"/>
        </w:rPr>
        <w:t xml:space="preserve">The </w:t>
      </w:r>
      <w:proofErr w:type="spellStart"/>
      <w:r w:rsidRPr="00AE4967">
        <w:rPr>
          <w:rFonts w:cstheme="minorHAnsi"/>
          <w:lang w:val="en-US"/>
        </w:rPr>
        <w:t>dofile</w:t>
      </w:r>
      <w:proofErr w:type="spellEnd"/>
      <w:r w:rsidRPr="00AE4967">
        <w:rPr>
          <w:rFonts w:cstheme="minorHAnsi"/>
          <w:lang w:val="en-US"/>
        </w:rPr>
        <w:t xml:space="preserve"> can be found using the following DOI: </w:t>
      </w:r>
      <w:r w:rsidRPr="00AE4967">
        <w:rPr>
          <w:lang w:val="en-US"/>
        </w:rPr>
        <w:t>10.25397/eur.14394158</w:t>
      </w:r>
    </w:p>
    <w:p w14:paraId="20CAADEE" w14:textId="1F2DE254" w:rsidR="00F221E5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3.</w:t>
      </w:r>
      <w:proofErr w:type="gramStart"/>
      <w:r w:rsidRPr="003775CA">
        <w:rPr>
          <w:rFonts w:cstheme="minorHAnsi"/>
          <w:highlight w:val="lightGray"/>
          <w:lang w:val="en-US"/>
        </w:rPr>
        <w:t>5.Code</w:t>
      </w:r>
      <w:proofErr w:type="gramEnd"/>
      <w:r w:rsidRPr="003775CA">
        <w:rPr>
          <w:rFonts w:cstheme="minorHAnsi"/>
          <w:highlight w:val="lightGray"/>
          <w:lang w:val="en-US"/>
        </w:rPr>
        <w:t>_Article Equity 2_R1.do</w:t>
      </w:r>
      <w:r w:rsidRPr="003775CA">
        <w:rPr>
          <w:rFonts w:cstheme="minorHAnsi"/>
          <w:lang w:val="en-US"/>
        </w:rPr>
        <w:t xml:space="preserve"> </w:t>
      </w:r>
      <w:r w:rsidR="00B44756" w:rsidRPr="003775CA">
        <w:rPr>
          <w:rFonts w:cstheme="minorHAnsi"/>
          <w:lang w:val="en-US"/>
        </w:rPr>
        <w:t xml:space="preserve">contains the code producing the descriptive statistics and analyses as presented in the published version of [Equity Paper 2]. We also provide </w:t>
      </w:r>
      <w:r w:rsidRPr="003775CA">
        <w:rPr>
          <w:rFonts w:cstheme="minorHAnsi"/>
          <w:highlight w:val="lightGray"/>
          <w:lang w:val="en-US"/>
        </w:rPr>
        <w:t>3.</w:t>
      </w:r>
      <w:proofErr w:type="gramStart"/>
      <w:r w:rsidRPr="003775CA">
        <w:rPr>
          <w:rFonts w:cstheme="minorHAnsi"/>
          <w:highlight w:val="lightGray"/>
          <w:lang w:val="en-US"/>
        </w:rPr>
        <w:t>2.Code</w:t>
      </w:r>
      <w:proofErr w:type="gramEnd"/>
      <w:r w:rsidRPr="003775CA">
        <w:rPr>
          <w:rFonts w:cstheme="minorHAnsi"/>
          <w:highlight w:val="lightGray"/>
          <w:lang w:val="en-US"/>
        </w:rPr>
        <w:t>_Article Equity 2.do</w:t>
      </w:r>
      <w:r w:rsidR="00B44756" w:rsidRPr="003775CA">
        <w:rPr>
          <w:rFonts w:cstheme="minorHAnsi"/>
          <w:lang w:val="en-US"/>
        </w:rPr>
        <w:t xml:space="preserve">, which contains the code before the revision of the paper requested by the editorial board of </w:t>
      </w:r>
      <w:r w:rsidR="00B44756" w:rsidRPr="003775CA">
        <w:rPr>
          <w:rFonts w:cstheme="minorHAnsi"/>
          <w:i/>
          <w:iCs/>
          <w:lang w:val="en-US"/>
        </w:rPr>
        <w:t>Health Economics</w:t>
      </w:r>
      <w:r w:rsidR="00B44756" w:rsidRPr="003775CA">
        <w:rPr>
          <w:rFonts w:cstheme="minorHAnsi"/>
          <w:lang w:val="en-US"/>
        </w:rPr>
        <w:t xml:space="preserve">.  </w:t>
      </w:r>
    </w:p>
    <w:p w14:paraId="022E8611" w14:textId="528740E9" w:rsidR="00F221E5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3.</w:t>
      </w:r>
      <w:proofErr w:type="gramStart"/>
      <w:r w:rsidRPr="003775CA">
        <w:rPr>
          <w:rFonts w:cstheme="minorHAnsi"/>
          <w:highlight w:val="lightGray"/>
          <w:lang w:val="en-US"/>
        </w:rPr>
        <w:t>3.Code</w:t>
      </w:r>
      <w:proofErr w:type="gramEnd"/>
      <w:r w:rsidRPr="003775CA">
        <w:rPr>
          <w:rFonts w:cstheme="minorHAnsi"/>
          <w:highlight w:val="lightGray"/>
          <w:lang w:val="en-US"/>
        </w:rPr>
        <w:t>_Article Equity 2_Robustness checks_R1.do</w:t>
      </w:r>
      <w:r w:rsidR="00225F88" w:rsidRPr="003775CA">
        <w:rPr>
          <w:rFonts w:cstheme="minorHAnsi"/>
          <w:lang w:val="en-US"/>
        </w:rPr>
        <w:t xml:space="preserve"> includes robustness checks, as presented in the published version of [Equity Paper 2].</w:t>
      </w:r>
    </w:p>
    <w:p w14:paraId="3990B319" w14:textId="1ACC65BC" w:rsidR="00F221E5" w:rsidRPr="003775CA" w:rsidRDefault="00F221E5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3.</w:t>
      </w:r>
      <w:proofErr w:type="gramStart"/>
      <w:r w:rsidRPr="003775CA">
        <w:rPr>
          <w:rFonts w:cstheme="minorHAnsi"/>
          <w:highlight w:val="lightGray"/>
          <w:lang w:val="en-US"/>
        </w:rPr>
        <w:t>5.Code</w:t>
      </w:r>
      <w:proofErr w:type="gramEnd"/>
      <w:r w:rsidRPr="003775CA">
        <w:rPr>
          <w:rFonts w:cstheme="minorHAnsi"/>
          <w:highlight w:val="lightGray"/>
          <w:lang w:val="en-US"/>
        </w:rPr>
        <w:t>_Article Equity 2_Revision.do</w:t>
      </w:r>
      <w:r w:rsidR="00E07BDA" w:rsidRPr="003775CA">
        <w:rPr>
          <w:rFonts w:cstheme="minorHAnsi"/>
          <w:lang w:val="en-US"/>
        </w:rPr>
        <w:t xml:space="preserve"> provides additional checks that were performed during the revision process, but have not been included in the publication for the sake of conciseness. </w:t>
      </w:r>
    </w:p>
    <w:p w14:paraId="3D0229A1" w14:textId="53720AE9" w:rsidR="00F524DF" w:rsidRPr="003775CA" w:rsidRDefault="00E07BDA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3.</w:t>
      </w:r>
      <w:proofErr w:type="gramStart"/>
      <w:r w:rsidRPr="003775CA">
        <w:rPr>
          <w:rFonts w:cstheme="minorHAnsi"/>
          <w:highlight w:val="lightGray"/>
          <w:lang w:val="en-US"/>
        </w:rPr>
        <w:t>2.Code</w:t>
      </w:r>
      <w:proofErr w:type="gramEnd"/>
      <w:r w:rsidRPr="003775CA">
        <w:rPr>
          <w:rFonts w:cstheme="minorHAnsi"/>
          <w:highlight w:val="lightGray"/>
          <w:lang w:val="en-US"/>
        </w:rPr>
        <w:t>_Article Equity 2_Variable definition.do</w:t>
      </w:r>
      <w:r w:rsidRPr="003775CA">
        <w:rPr>
          <w:rFonts w:cstheme="minorHAnsi"/>
          <w:lang w:val="en-US"/>
        </w:rPr>
        <w:t xml:space="preserve"> is a sub-program that needs to be run along the four previous </w:t>
      </w:r>
      <w:proofErr w:type="spellStart"/>
      <w:r w:rsidRPr="003775CA">
        <w:rPr>
          <w:rFonts w:cstheme="minorHAnsi"/>
          <w:lang w:val="en-US"/>
        </w:rPr>
        <w:t>dofiles</w:t>
      </w:r>
      <w:proofErr w:type="spellEnd"/>
      <w:r w:rsidRPr="003775CA">
        <w:rPr>
          <w:rFonts w:cstheme="minorHAnsi"/>
          <w:lang w:val="en-US"/>
        </w:rPr>
        <w:t xml:space="preserve"> and allows the creation of additional variables. </w:t>
      </w:r>
    </w:p>
    <w:p w14:paraId="4A805DB2" w14:textId="5B0AD943" w:rsidR="00E07BDA" w:rsidRPr="003775CA" w:rsidRDefault="003F2089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>4.Figures_Article Equity 2.do</w:t>
      </w:r>
      <w:r w:rsidRPr="003775CA">
        <w:rPr>
          <w:rFonts w:cstheme="minorHAnsi"/>
          <w:lang w:val="en-US"/>
        </w:rPr>
        <w:t xml:space="preserve"> leverages the analysis results to produce the figures presented in the article.</w:t>
      </w:r>
    </w:p>
    <w:p w14:paraId="4A3DCCE2" w14:textId="77777777" w:rsidR="00697867" w:rsidRPr="003775CA" w:rsidRDefault="00697867" w:rsidP="00CF7526">
      <w:pPr>
        <w:spacing w:before="120" w:after="120"/>
        <w:ind w:left="360"/>
        <w:jc w:val="both"/>
        <w:rPr>
          <w:rFonts w:cstheme="minorHAnsi"/>
          <w:lang w:val="en-US"/>
        </w:rPr>
      </w:pPr>
    </w:p>
    <w:p w14:paraId="603422F3" w14:textId="596D8640" w:rsidR="00D629E5" w:rsidRPr="003775CA" w:rsidRDefault="00D629E5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t>Ado file used in [Equity paper 2]</w:t>
      </w:r>
    </w:p>
    <w:p w14:paraId="59C4192B" w14:textId="29402CF0" w:rsidR="00F221E5" w:rsidRPr="003775CA" w:rsidRDefault="00697867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The empirical analyses in [Equity paper 2] include a Lasso used for variable selection. For this, the code calls an </w:t>
      </w:r>
      <w:proofErr w:type="spellStart"/>
      <w:r w:rsidRPr="003775CA">
        <w:rPr>
          <w:rFonts w:cstheme="minorHAnsi"/>
          <w:lang w:val="en-US"/>
        </w:rPr>
        <w:t>ado</w:t>
      </w:r>
      <w:proofErr w:type="spellEnd"/>
      <w:r w:rsidRPr="003775CA">
        <w:rPr>
          <w:rFonts w:cstheme="minorHAnsi"/>
          <w:lang w:val="en-US"/>
        </w:rPr>
        <w:t xml:space="preserve">-file, </w:t>
      </w:r>
      <w:r w:rsidR="00F221E5" w:rsidRPr="003775CA">
        <w:rPr>
          <w:rFonts w:cstheme="minorHAnsi"/>
          <w:highlight w:val="lightGray"/>
          <w:lang w:val="en-US"/>
        </w:rPr>
        <w:t>0.LassoShooting.ado</w:t>
      </w:r>
      <w:r w:rsidRPr="003775CA">
        <w:rPr>
          <w:rFonts w:cstheme="minorHAnsi"/>
          <w:lang w:val="en-US"/>
        </w:rPr>
        <w:t xml:space="preserve">. </w:t>
      </w:r>
    </w:p>
    <w:p w14:paraId="71201B48" w14:textId="77777777" w:rsidR="00821218" w:rsidRDefault="00697867" w:rsidP="00CF7526">
      <w:pPr>
        <w:shd w:val="clear" w:color="auto" w:fill="FFFFFF"/>
        <w:spacing w:before="120" w:after="120"/>
        <w:ind w:left="360"/>
        <w:rPr>
          <w:rFonts w:cstheme="minorHAnsi"/>
          <w:color w:val="222222"/>
          <w:lang w:val="en-GB"/>
        </w:rPr>
      </w:pPr>
      <w:proofErr w:type="gramStart"/>
      <w:r w:rsidRPr="003775CA">
        <w:rPr>
          <w:rFonts w:cstheme="minorHAnsi"/>
          <w:color w:val="222222"/>
          <w:lang w:val="en-GB"/>
        </w:rPr>
        <w:t>This .ado</w:t>
      </w:r>
      <w:proofErr w:type="gramEnd"/>
      <w:r w:rsidRPr="003775CA">
        <w:rPr>
          <w:rFonts w:cstheme="minorHAnsi"/>
          <w:color w:val="222222"/>
          <w:lang w:val="en-GB"/>
        </w:rPr>
        <w:t xml:space="preserve"> was adapted from a code released together with the following publication: </w:t>
      </w:r>
    </w:p>
    <w:p w14:paraId="3328C171" w14:textId="70B7A74F" w:rsidR="00697867" w:rsidRPr="003775CA" w:rsidRDefault="00697867" w:rsidP="00821218">
      <w:pPr>
        <w:shd w:val="clear" w:color="auto" w:fill="FFFFFF"/>
        <w:spacing w:before="120" w:after="120"/>
        <w:ind w:left="360"/>
        <w:jc w:val="center"/>
        <w:rPr>
          <w:rFonts w:cstheme="minorHAnsi"/>
          <w:color w:val="222222"/>
          <w:lang w:val="en-US"/>
        </w:rPr>
      </w:pPr>
      <w:proofErr w:type="spellStart"/>
      <w:r w:rsidRPr="003775CA">
        <w:rPr>
          <w:rFonts w:cstheme="minorHAnsi"/>
          <w:color w:val="222222"/>
          <w:lang w:val="en-GB"/>
        </w:rPr>
        <w:t>Belloni</w:t>
      </w:r>
      <w:proofErr w:type="spellEnd"/>
      <w:r w:rsidRPr="003775CA">
        <w:rPr>
          <w:rFonts w:cstheme="minorHAnsi"/>
          <w:color w:val="222222"/>
          <w:lang w:val="en-GB"/>
        </w:rPr>
        <w:t xml:space="preserve">, A., &amp; </w:t>
      </w:r>
      <w:proofErr w:type="spellStart"/>
      <w:r w:rsidRPr="003775CA">
        <w:rPr>
          <w:rFonts w:cstheme="minorHAnsi"/>
          <w:color w:val="222222"/>
          <w:lang w:val="en-GB"/>
        </w:rPr>
        <w:t>Chernozhukov</w:t>
      </w:r>
      <w:proofErr w:type="spellEnd"/>
      <w:r w:rsidRPr="003775CA">
        <w:rPr>
          <w:rFonts w:cstheme="minorHAnsi"/>
          <w:color w:val="222222"/>
          <w:lang w:val="en-GB"/>
        </w:rPr>
        <w:t xml:space="preserve">, V. (2013). </w:t>
      </w:r>
      <w:r w:rsidRPr="00821218">
        <w:rPr>
          <w:rFonts w:cstheme="minorHAnsi"/>
          <w:b/>
          <w:bCs/>
          <w:color w:val="222222"/>
          <w:lang w:val="en-GB"/>
        </w:rPr>
        <w:t>Least squares after model selection in high-dimensional sparse models.</w:t>
      </w:r>
      <w:r w:rsidRPr="003775CA">
        <w:rPr>
          <w:rFonts w:cstheme="minorHAnsi"/>
          <w:color w:val="222222"/>
          <w:lang w:val="en-GB"/>
        </w:rPr>
        <w:t> </w:t>
      </w:r>
      <w:r w:rsidRPr="003775CA">
        <w:rPr>
          <w:rFonts w:cstheme="minorHAnsi"/>
          <w:i/>
          <w:iCs/>
          <w:color w:val="222222"/>
          <w:lang w:val="en-US"/>
        </w:rPr>
        <w:t>Bernoulli</w:t>
      </w:r>
      <w:r w:rsidRPr="003775CA">
        <w:rPr>
          <w:rFonts w:cstheme="minorHAnsi"/>
          <w:color w:val="222222"/>
          <w:lang w:val="en-US"/>
        </w:rPr>
        <w:t>, </w:t>
      </w:r>
      <w:r w:rsidRPr="003775CA">
        <w:rPr>
          <w:rFonts w:cstheme="minorHAnsi"/>
          <w:i/>
          <w:iCs/>
          <w:color w:val="222222"/>
          <w:lang w:val="en-US"/>
        </w:rPr>
        <w:t>19</w:t>
      </w:r>
      <w:r w:rsidRPr="003775CA">
        <w:rPr>
          <w:rFonts w:cstheme="minorHAnsi"/>
          <w:color w:val="222222"/>
          <w:lang w:val="en-US"/>
        </w:rPr>
        <w:t>(2), 521-547.</w:t>
      </w:r>
      <w:r w:rsidRPr="003775CA">
        <w:rPr>
          <w:rFonts w:cstheme="minorHAnsi"/>
          <w:color w:val="00549F"/>
          <w:shd w:val="clear" w:color="auto" w:fill="FFFFFF"/>
          <w:lang w:val="en-US"/>
        </w:rPr>
        <w:t xml:space="preserve"> </w:t>
      </w:r>
      <w:r w:rsidRPr="003775CA">
        <w:rPr>
          <w:rFonts w:cstheme="minorHAnsi"/>
          <w:shd w:val="clear" w:color="auto" w:fill="FFFFFF"/>
          <w:lang w:val="en-US"/>
        </w:rPr>
        <w:t>DOI: 10.3150/11-BEJ410</w:t>
      </w:r>
      <w:r w:rsidR="003330EA">
        <w:rPr>
          <w:rFonts w:cstheme="minorHAnsi"/>
          <w:shd w:val="clear" w:color="auto" w:fill="FFFFFF"/>
          <w:lang w:val="en-US"/>
        </w:rPr>
        <w:t xml:space="preserve"> [</w:t>
      </w:r>
      <w:hyperlink r:id="rId16" w:history="1">
        <w:r w:rsidR="003330EA" w:rsidRPr="003330EA">
          <w:rPr>
            <w:rStyle w:val="Hyperlink"/>
            <w:rFonts w:cstheme="minorHAnsi"/>
            <w:shd w:val="clear" w:color="auto" w:fill="FFFFFF"/>
            <w:lang w:val="en-US"/>
          </w:rPr>
          <w:t>link to paper</w:t>
        </w:r>
      </w:hyperlink>
      <w:r w:rsidR="003330EA">
        <w:rPr>
          <w:rFonts w:cstheme="minorHAnsi"/>
          <w:shd w:val="clear" w:color="auto" w:fill="FFFFFF"/>
          <w:lang w:val="en-US"/>
        </w:rPr>
        <w:t>]</w:t>
      </w:r>
      <w:r w:rsidRPr="003775CA">
        <w:rPr>
          <w:rFonts w:cstheme="minorHAnsi"/>
          <w:shd w:val="clear" w:color="auto" w:fill="FFFFFF"/>
          <w:lang w:val="en-US"/>
        </w:rPr>
        <w:t xml:space="preserve"> [</w:t>
      </w:r>
      <w:hyperlink r:id="rId17" w:history="1">
        <w:r w:rsidRPr="003775CA">
          <w:rPr>
            <w:rStyle w:val="Hyperlink"/>
            <w:rFonts w:cstheme="minorHAnsi"/>
            <w:shd w:val="clear" w:color="auto" w:fill="FFFFFF"/>
            <w:lang w:val="en-US"/>
          </w:rPr>
          <w:t>link to code</w:t>
        </w:r>
      </w:hyperlink>
      <w:r w:rsidRPr="003775CA">
        <w:rPr>
          <w:rFonts w:cstheme="minorHAnsi"/>
          <w:shd w:val="clear" w:color="auto" w:fill="FFFFFF"/>
          <w:lang w:val="en-US"/>
        </w:rPr>
        <w:t>]</w:t>
      </w:r>
    </w:p>
    <w:p w14:paraId="332A9664" w14:textId="77777777" w:rsidR="00697867" w:rsidRPr="003775CA" w:rsidRDefault="00697867" w:rsidP="00CF7526">
      <w:pPr>
        <w:pStyle w:val="ListParagraph"/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</w:p>
    <w:p w14:paraId="4333B2A3" w14:textId="5AF8B293" w:rsidR="00841A17" w:rsidRPr="003775CA" w:rsidRDefault="00841A17" w:rsidP="00CF7526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lang w:val="en-US"/>
        </w:rPr>
      </w:pPr>
      <w:r w:rsidRPr="003775CA">
        <w:rPr>
          <w:rFonts w:cstheme="minorHAnsi"/>
          <w:b/>
          <w:bCs/>
          <w:lang w:val="en-US"/>
        </w:rPr>
        <w:t>Data sources</w:t>
      </w:r>
      <w:r w:rsidR="00F221E5" w:rsidRPr="003775CA">
        <w:rPr>
          <w:rFonts w:cstheme="minorHAnsi"/>
          <w:b/>
          <w:bCs/>
          <w:lang w:val="en-US"/>
        </w:rPr>
        <w:t>: Statistics Netherlands</w:t>
      </w:r>
    </w:p>
    <w:p w14:paraId="11E78FBD" w14:textId="06FF2E7C" w:rsidR="00E44466" w:rsidRPr="003775CA" w:rsidRDefault="00E44466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The empirical analyses leverage individual- or household-level data (called microdata). In addition, it combines </w:t>
      </w:r>
      <w:proofErr w:type="gramStart"/>
      <w:r w:rsidRPr="003775CA">
        <w:rPr>
          <w:rFonts w:cstheme="minorHAnsi"/>
          <w:lang w:val="en-US"/>
        </w:rPr>
        <w:t>these microdata</w:t>
      </w:r>
      <w:proofErr w:type="gramEnd"/>
      <w:r w:rsidRPr="003775CA">
        <w:rPr>
          <w:rFonts w:cstheme="minorHAnsi"/>
          <w:lang w:val="en-US"/>
        </w:rPr>
        <w:t xml:space="preserve"> with a number of aggregate level data, or listings.</w:t>
      </w:r>
    </w:p>
    <w:p w14:paraId="4B36638E" w14:textId="4D95323D" w:rsidR="00053D68" w:rsidRPr="003775CA" w:rsidRDefault="003F2089" w:rsidP="00CF7526">
      <w:pPr>
        <w:pStyle w:val="ListParagraph"/>
        <w:numPr>
          <w:ilvl w:val="1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i/>
          <w:iCs/>
          <w:lang w:val="en-US"/>
        </w:rPr>
      </w:pPr>
      <w:r w:rsidRPr="003775CA">
        <w:rPr>
          <w:rFonts w:cstheme="minorHAnsi"/>
          <w:b/>
          <w:bCs/>
          <w:i/>
          <w:iCs/>
          <w:lang w:val="en-US"/>
        </w:rPr>
        <w:t>Data access</w:t>
      </w:r>
    </w:p>
    <w:p w14:paraId="5D2B13CD" w14:textId="1E413A5D" w:rsidR="00F524DF" w:rsidRPr="003775CA" w:rsidRDefault="00F524DF" w:rsidP="00CF7526">
      <w:pPr>
        <w:spacing w:before="120" w:after="120"/>
        <w:ind w:left="360"/>
        <w:jc w:val="both"/>
        <w:rPr>
          <w:rFonts w:cstheme="minorHAnsi"/>
          <w:color w:val="1C1D1E"/>
          <w:shd w:val="clear" w:color="auto" w:fill="FFFFFF"/>
          <w:lang w:val="en-US"/>
        </w:rPr>
      </w:pPr>
      <w:r w:rsidRPr="003775CA">
        <w:rPr>
          <w:rFonts w:cstheme="minorHAnsi"/>
          <w:color w:val="1C1D1E"/>
          <w:shd w:val="clear" w:color="auto" w:fill="FFFFFF"/>
          <w:lang w:val="en-US"/>
        </w:rPr>
        <w:t>The results presented in this article are based on calculations by the authors using non‐public microdata from Statistics Netherlands (CBS). The datasets used include the </w:t>
      </w:r>
      <w:proofErr w:type="spellStart"/>
      <w:r w:rsidRPr="003775CA">
        <w:rPr>
          <w:rFonts w:cstheme="minorHAnsi"/>
          <w:i/>
          <w:iCs/>
          <w:color w:val="1C1D1E"/>
          <w:shd w:val="clear" w:color="auto" w:fill="FFFFFF"/>
          <w:lang w:val="en-US"/>
        </w:rPr>
        <w:t>Gezondheidsmonitor</w:t>
      </w:r>
      <w:proofErr w:type="spellEnd"/>
      <w:r w:rsidRPr="003775CA">
        <w:rPr>
          <w:rFonts w:cstheme="minorHAnsi"/>
          <w:i/>
          <w:iCs/>
          <w:color w:val="1C1D1E"/>
          <w:shd w:val="clear" w:color="auto" w:fill="FFFFFF"/>
          <w:lang w:val="en-US"/>
        </w:rPr>
        <w:t xml:space="preserve"> </w:t>
      </w:r>
      <w:proofErr w:type="spellStart"/>
      <w:r w:rsidRPr="003775CA">
        <w:rPr>
          <w:rFonts w:cstheme="minorHAnsi"/>
          <w:i/>
          <w:iCs/>
          <w:color w:val="1C1D1E"/>
          <w:shd w:val="clear" w:color="auto" w:fill="FFFFFF"/>
          <w:lang w:val="en-US"/>
        </w:rPr>
        <w:t>Volwassenen</w:t>
      </w:r>
      <w:proofErr w:type="spellEnd"/>
      <w:r w:rsidRPr="003775CA">
        <w:rPr>
          <w:rFonts w:cstheme="minorHAnsi"/>
          <w:i/>
          <w:iCs/>
          <w:color w:val="1C1D1E"/>
          <w:shd w:val="clear" w:color="auto" w:fill="FFFFFF"/>
          <w:lang w:val="en-US"/>
        </w:rPr>
        <w:t xml:space="preserve"> en </w:t>
      </w:r>
      <w:proofErr w:type="spellStart"/>
      <w:r w:rsidRPr="003775CA">
        <w:rPr>
          <w:rFonts w:cstheme="minorHAnsi"/>
          <w:i/>
          <w:iCs/>
          <w:color w:val="1C1D1E"/>
          <w:shd w:val="clear" w:color="auto" w:fill="FFFFFF"/>
          <w:lang w:val="en-US"/>
        </w:rPr>
        <w:t>Ouderen</w:t>
      </w:r>
      <w:proofErr w:type="spellEnd"/>
      <w:r w:rsidRPr="003775CA">
        <w:rPr>
          <w:rFonts w:cstheme="minorHAnsi"/>
          <w:color w:val="1C1D1E"/>
          <w:shd w:val="clear" w:color="auto" w:fill="FFFFFF"/>
          <w:lang w:val="en-US"/>
        </w:rPr>
        <w:t> (Health Monitor</w:t>
      </w:r>
      <w:r w:rsidR="00697867" w:rsidRPr="003775CA">
        <w:rPr>
          <w:rFonts w:cstheme="minorHAnsi"/>
          <w:color w:val="1C1D1E"/>
          <w:shd w:val="clear" w:color="auto" w:fill="FFFFFF"/>
          <w:lang w:val="en-US"/>
        </w:rPr>
        <w:t>)</w:t>
      </w:r>
      <w:r w:rsidRPr="003775CA">
        <w:rPr>
          <w:rFonts w:cstheme="minorHAnsi"/>
          <w:color w:val="1C1D1E"/>
          <w:shd w:val="clear" w:color="auto" w:fill="FFFFFF"/>
          <w:lang w:val="en-US"/>
        </w:rPr>
        <w:t xml:space="preserve">, wave 2012, provided by the GGDs (Municipal Health Services), CBS and RIVM (Dutch National Institute of Public Health). </w:t>
      </w:r>
    </w:p>
    <w:p w14:paraId="17290D6C" w14:textId="5A7E21CA" w:rsidR="00F524DF" w:rsidRPr="003775CA" w:rsidRDefault="00F524DF" w:rsidP="00CF7526">
      <w:pPr>
        <w:spacing w:before="120" w:after="120"/>
        <w:ind w:left="360"/>
        <w:jc w:val="both"/>
        <w:rPr>
          <w:rFonts w:cstheme="minorHAnsi"/>
          <w:color w:val="1C1D1E"/>
          <w:shd w:val="clear" w:color="auto" w:fill="FFFFFF"/>
          <w:lang w:val="en-US"/>
        </w:rPr>
      </w:pPr>
      <w:r w:rsidRPr="003775CA">
        <w:rPr>
          <w:rFonts w:cstheme="minorHAnsi"/>
          <w:color w:val="1C1D1E"/>
          <w:shd w:val="clear" w:color="auto" w:fill="FFFFFF"/>
          <w:lang w:val="en-US"/>
        </w:rPr>
        <w:t xml:space="preserve">Under certain conditions and a confidentiality agreement, these microdata are accessible for statistical and scientific research. For further information: </w:t>
      </w:r>
      <w:hyperlink r:id="rId18" w:history="1">
        <w:r w:rsidRPr="003775CA">
          <w:rPr>
            <w:rStyle w:val="Hyperlink"/>
            <w:rFonts w:cstheme="minorHAnsi"/>
            <w:shd w:val="clear" w:color="auto" w:fill="FFFFFF"/>
            <w:lang w:val="en-US"/>
          </w:rPr>
          <w:t>microdata@cbs.nl</w:t>
        </w:r>
      </w:hyperlink>
      <w:r w:rsidRPr="003775CA">
        <w:rPr>
          <w:rFonts w:cstheme="minorHAnsi"/>
          <w:color w:val="1C1D1E"/>
          <w:shd w:val="clear" w:color="auto" w:fill="FFFFFF"/>
          <w:lang w:val="en-US"/>
        </w:rPr>
        <w:t xml:space="preserve">. </w:t>
      </w:r>
      <w:r w:rsidR="00FA6102" w:rsidRPr="003775CA">
        <w:rPr>
          <w:rFonts w:cstheme="minorHAnsi"/>
          <w:color w:val="1C1D1E"/>
          <w:shd w:val="clear" w:color="auto" w:fill="FFFFFF"/>
          <w:lang w:val="en-US"/>
        </w:rPr>
        <w:t xml:space="preserve">If access is granted, data can be accessed via a remote access environment. </w:t>
      </w:r>
    </w:p>
    <w:p w14:paraId="3FD5C99E" w14:textId="77777777" w:rsidR="00F524DF" w:rsidRPr="003775CA" w:rsidRDefault="00053D68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lastRenderedPageBreak/>
        <w:t xml:space="preserve">All micro-data include a </w:t>
      </w:r>
      <w:proofErr w:type="spellStart"/>
      <w:r w:rsidRPr="003775CA">
        <w:rPr>
          <w:rFonts w:cstheme="minorHAnsi"/>
          <w:lang w:val="en-US"/>
        </w:rPr>
        <w:t>pseudomyzed</w:t>
      </w:r>
      <w:proofErr w:type="spellEnd"/>
      <w:r w:rsidRPr="003775CA">
        <w:rPr>
          <w:rFonts w:cstheme="minorHAnsi"/>
          <w:lang w:val="en-US"/>
        </w:rPr>
        <w:t xml:space="preserve"> personal identifier that allows to link (</w:t>
      </w:r>
      <w:r w:rsidRPr="003775CA">
        <w:rPr>
          <w:rFonts w:cstheme="minorHAnsi"/>
          <w:i/>
          <w:iCs/>
          <w:lang w:val="en-US"/>
        </w:rPr>
        <w:t>merge</w:t>
      </w:r>
      <w:r w:rsidRPr="003775CA">
        <w:rPr>
          <w:rFonts w:cstheme="minorHAnsi"/>
          <w:lang w:val="en-US"/>
        </w:rPr>
        <w:t xml:space="preserve">) the various datasets. Exact linkage of the Health Monitor survey respondents </w:t>
      </w:r>
      <w:r w:rsidR="00F524DF" w:rsidRPr="003775CA">
        <w:rPr>
          <w:rFonts w:cstheme="minorHAnsi"/>
          <w:lang w:val="en-US"/>
        </w:rPr>
        <w:t xml:space="preserve">with the administrative data is also possible thanks to the availability of the </w:t>
      </w:r>
      <w:proofErr w:type="spellStart"/>
      <w:r w:rsidR="00F524DF" w:rsidRPr="003775CA">
        <w:rPr>
          <w:rFonts w:cstheme="minorHAnsi"/>
          <w:lang w:val="en-US"/>
        </w:rPr>
        <w:t>pseudomized</w:t>
      </w:r>
      <w:proofErr w:type="spellEnd"/>
      <w:r w:rsidR="00F524DF" w:rsidRPr="003775CA">
        <w:rPr>
          <w:rFonts w:cstheme="minorHAnsi"/>
          <w:lang w:val="en-US"/>
        </w:rPr>
        <w:t xml:space="preserve"> identifier in the survey.</w:t>
      </w:r>
    </w:p>
    <w:p w14:paraId="49839484" w14:textId="31AB66E6" w:rsidR="00B7708B" w:rsidRDefault="00F524DF" w:rsidP="00D16BB6">
      <w:pPr>
        <w:spacing w:before="120" w:after="120"/>
        <w:ind w:left="360"/>
        <w:jc w:val="both"/>
        <w:rPr>
          <w:rFonts w:cstheme="minorHAnsi"/>
          <w:color w:val="1C1D1E"/>
          <w:shd w:val="clear" w:color="auto" w:fill="FFFFFF"/>
          <w:lang w:val="en-US"/>
        </w:rPr>
      </w:pPr>
      <w:r w:rsidRPr="003775CA">
        <w:rPr>
          <w:rFonts w:cstheme="minorHAnsi"/>
          <w:color w:val="1C1D1E"/>
          <w:shd w:val="clear" w:color="auto" w:fill="FFFFFF"/>
          <w:lang w:val="en-US"/>
        </w:rPr>
        <w:t>Exploitation of the data and publication of the results are made in compliance with the European privacy legislation (GDPR, May 25</w:t>
      </w:r>
      <w:r w:rsidRPr="003775CA">
        <w:rPr>
          <w:rFonts w:cstheme="minorHAnsi"/>
          <w:color w:val="1C1D1E"/>
          <w:shd w:val="clear" w:color="auto" w:fill="FFFFFF"/>
          <w:vertAlign w:val="superscript"/>
          <w:lang w:val="en-US"/>
        </w:rPr>
        <w:t>th</w:t>
      </w:r>
      <w:r w:rsidRPr="003775CA">
        <w:rPr>
          <w:rFonts w:cstheme="minorHAnsi"/>
          <w:color w:val="1C1D1E"/>
          <w:shd w:val="clear" w:color="auto" w:fill="FFFFFF"/>
          <w:lang w:val="en-US"/>
        </w:rPr>
        <w:t>, 2018).</w:t>
      </w:r>
    </w:p>
    <w:p w14:paraId="17975236" w14:textId="77777777" w:rsidR="00D16BB6" w:rsidRPr="003775CA" w:rsidRDefault="00D16BB6" w:rsidP="00D16BB6">
      <w:pPr>
        <w:spacing w:before="120" w:after="120"/>
        <w:ind w:left="360"/>
        <w:jc w:val="both"/>
        <w:rPr>
          <w:rFonts w:cstheme="minorHAnsi"/>
          <w:b/>
          <w:bCs/>
          <w:i/>
          <w:iCs/>
          <w:lang w:val="en-US"/>
        </w:rPr>
      </w:pPr>
    </w:p>
    <w:p w14:paraId="646D3777" w14:textId="7E1D6A4A" w:rsidR="00697867" w:rsidRPr="003775CA" w:rsidRDefault="003F2089" w:rsidP="00CF7526">
      <w:pPr>
        <w:pStyle w:val="ListParagraph"/>
        <w:numPr>
          <w:ilvl w:val="1"/>
          <w:numId w:val="1"/>
        </w:numPr>
        <w:spacing w:before="120" w:after="120"/>
        <w:contextualSpacing w:val="0"/>
        <w:jc w:val="both"/>
        <w:rPr>
          <w:rFonts w:cstheme="minorHAnsi"/>
          <w:b/>
          <w:bCs/>
          <w:i/>
          <w:iCs/>
          <w:lang w:val="en-US"/>
        </w:rPr>
      </w:pPr>
      <w:r w:rsidRPr="003775CA">
        <w:rPr>
          <w:rFonts w:cstheme="minorHAnsi"/>
          <w:b/>
          <w:bCs/>
          <w:i/>
          <w:iCs/>
          <w:lang w:val="en-US"/>
        </w:rPr>
        <w:t xml:space="preserve">List of microdata used </w:t>
      </w:r>
    </w:p>
    <w:p w14:paraId="2036AF27" w14:textId="41813B1C" w:rsidR="00FA6102" w:rsidRPr="003775CA" w:rsidRDefault="00FA6102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Table 1 presents the micro data that were used. The first column provides the original names of the datasets, as recorded in CBS remote access environment. </w:t>
      </w:r>
    </w:p>
    <w:p w14:paraId="0AB6D744" w14:textId="2316AE07" w:rsidR="00697867" w:rsidRPr="003775CA" w:rsidRDefault="00FA6102" w:rsidP="00CF7526">
      <w:pPr>
        <w:spacing w:before="120" w:after="120"/>
        <w:ind w:left="360"/>
        <w:jc w:val="both"/>
        <w:rPr>
          <w:rFonts w:cstheme="minorHAnsi"/>
          <w:b/>
          <w:bCs/>
          <w:i/>
          <w:iCs/>
          <w:lang w:val="en-US"/>
        </w:rPr>
      </w:pPr>
      <w:r w:rsidRPr="003775CA">
        <w:rPr>
          <w:rFonts w:cstheme="minorHAnsi"/>
          <w:lang w:val="en-US"/>
        </w:rPr>
        <w:t xml:space="preserve">Because some datasets were only available in a </w:t>
      </w:r>
      <w:proofErr w:type="spellStart"/>
      <w:r w:rsidRPr="003775CA">
        <w:rPr>
          <w:rFonts w:cstheme="minorHAnsi"/>
          <w:lang w:val="en-US"/>
        </w:rPr>
        <w:t>spss</w:t>
      </w:r>
      <w:proofErr w:type="spellEnd"/>
      <w:r w:rsidRPr="003775CA">
        <w:rPr>
          <w:rFonts w:cstheme="minorHAnsi"/>
          <w:lang w:val="en-US"/>
        </w:rPr>
        <w:t xml:space="preserve"> (.sav) format when we started the project, as a preliminary step we converted a number of datasets into .</w:t>
      </w:r>
      <w:proofErr w:type="spellStart"/>
      <w:r w:rsidRPr="003775CA">
        <w:rPr>
          <w:rFonts w:cstheme="minorHAnsi"/>
          <w:lang w:val="en-US"/>
        </w:rPr>
        <w:t>dta</w:t>
      </w:r>
      <w:proofErr w:type="spellEnd"/>
      <w:r w:rsidRPr="003775CA">
        <w:rPr>
          <w:rFonts w:cstheme="minorHAnsi"/>
          <w:lang w:val="en-US"/>
        </w:rPr>
        <w:t xml:space="preserve"> data, saving them under different names (which are then indicated in Column 2).</w:t>
      </w:r>
    </w:p>
    <w:p w14:paraId="7E6B5C70" w14:textId="55C4FD81" w:rsidR="003F2089" w:rsidRPr="003775CA" w:rsidRDefault="00674FC1" w:rsidP="00CF7526">
      <w:pPr>
        <w:pStyle w:val="ListParagraph"/>
        <w:spacing w:after="0"/>
        <w:ind w:left="810"/>
        <w:contextualSpacing w:val="0"/>
        <w:jc w:val="center"/>
        <w:rPr>
          <w:rFonts w:cstheme="minorHAnsi"/>
          <w:u w:val="single"/>
          <w:lang w:val="en-US"/>
        </w:rPr>
      </w:pPr>
      <w:r w:rsidRPr="003775CA">
        <w:rPr>
          <w:rFonts w:cstheme="minorHAnsi"/>
          <w:u w:val="single"/>
          <w:lang w:val="en-US"/>
        </w:rPr>
        <w:t xml:space="preserve">Table 1: Name of </w:t>
      </w:r>
      <w:r w:rsidR="00FA6102" w:rsidRPr="003775CA">
        <w:rPr>
          <w:rFonts w:cstheme="minorHAnsi"/>
          <w:u w:val="single"/>
          <w:lang w:val="en-US"/>
        </w:rPr>
        <w:t>microdata</w:t>
      </w:r>
      <w:r w:rsidRPr="003775CA">
        <w:rPr>
          <w:rFonts w:cstheme="minorHAnsi"/>
          <w:u w:val="single"/>
          <w:lang w:val="en-US"/>
        </w:rPr>
        <w:t xml:space="preserve"> in the CBS remote access environment and in our code (if different)</w:t>
      </w:r>
    </w:p>
    <w:tbl>
      <w:tblPr>
        <w:tblStyle w:val="TableGrid"/>
        <w:tblW w:w="8849" w:type="dxa"/>
        <w:tblInd w:w="360" w:type="dxa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425"/>
      </w:tblGrid>
      <w:tr w:rsidR="00674FC1" w:rsidRPr="00AE4967" w14:paraId="76F9F317" w14:textId="77777777" w:rsidTr="00FA6102">
        <w:tc>
          <w:tcPr>
            <w:tcW w:w="4424" w:type="dxa"/>
            <w:tcBorders>
              <w:top w:val="single" w:sz="4" w:space="0" w:color="auto"/>
              <w:bottom w:val="nil"/>
              <w:right w:val="nil"/>
            </w:tcBorders>
          </w:tcPr>
          <w:p w14:paraId="74439A30" w14:textId="6ED054C7" w:rsidR="00674FC1" w:rsidRPr="003775CA" w:rsidRDefault="00674FC1" w:rsidP="00CF7526">
            <w:pPr>
              <w:jc w:val="center"/>
              <w:rPr>
                <w:rFonts w:cstheme="minorHAnsi"/>
                <w:b/>
                <w:bCs/>
                <w:i/>
                <w:iCs/>
                <w:lang w:val="en-US"/>
              </w:rPr>
            </w:pPr>
            <w:r w:rsidRPr="003775CA">
              <w:rPr>
                <w:rFonts w:cstheme="minorHAnsi"/>
                <w:b/>
                <w:bCs/>
                <w:i/>
                <w:iCs/>
                <w:lang w:val="en-US"/>
              </w:rPr>
              <w:t>Name of dataset in the CBS remote access environment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nil"/>
            </w:tcBorders>
          </w:tcPr>
          <w:p w14:paraId="607F2B81" w14:textId="4426940A" w:rsidR="00674FC1" w:rsidRPr="003775CA" w:rsidRDefault="00674FC1" w:rsidP="00CF7526">
            <w:pPr>
              <w:jc w:val="center"/>
              <w:rPr>
                <w:rFonts w:cstheme="minorHAnsi"/>
                <w:b/>
                <w:bCs/>
                <w:i/>
                <w:iCs/>
                <w:lang w:val="en-US"/>
              </w:rPr>
            </w:pPr>
            <w:r w:rsidRPr="003775CA">
              <w:rPr>
                <w:rFonts w:cstheme="minorHAnsi"/>
                <w:b/>
                <w:bCs/>
                <w:i/>
                <w:iCs/>
                <w:lang w:val="en-US"/>
              </w:rPr>
              <w:t>Name in our code</w:t>
            </w:r>
            <w:r w:rsidR="00E44466" w:rsidRPr="003775CA">
              <w:rPr>
                <w:rFonts w:cstheme="minorHAnsi"/>
                <w:b/>
                <w:bCs/>
                <w:i/>
                <w:iCs/>
                <w:lang w:val="en-US"/>
              </w:rPr>
              <w:t xml:space="preserve"> </w:t>
            </w:r>
            <w:r w:rsidR="00E44466" w:rsidRPr="003775CA">
              <w:rPr>
                <w:rFonts w:cstheme="minorHAnsi"/>
                <w:b/>
                <w:bCs/>
                <w:lang w:val="en-US"/>
              </w:rPr>
              <w:t>(if different)</w:t>
            </w:r>
          </w:p>
        </w:tc>
      </w:tr>
      <w:tr w:rsidR="00FA6102" w:rsidRPr="003775CA" w14:paraId="76B3AE63" w14:textId="77777777" w:rsidTr="00FA6102">
        <w:tc>
          <w:tcPr>
            <w:tcW w:w="4424" w:type="dxa"/>
            <w:tcBorders>
              <w:top w:val="nil"/>
              <w:bottom w:val="single" w:sz="4" w:space="0" w:color="auto"/>
              <w:right w:val="nil"/>
            </w:tcBorders>
          </w:tcPr>
          <w:p w14:paraId="29359F9F" w14:textId="36FB9F2D" w:rsidR="00FA6102" w:rsidRPr="003775CA" w:rsidRDefault="00FA6102" w:rsidP="00CF7526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3775CA">
              <w:rPr>
                <w:rFonts w:cstheme="minorHAnsi"/>
                <w:b/>
                <w:bCs/>
                <w:lang w:val="en-US"/>
              </w:rPr>
              <w:t>(1)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</w:tcBorders>
          </w:tcPr>
          <w:p w14:paraId="09394FB6" w14:textId="21C61589" w:rsidR="00FA6102" w:rsidRPr="003775CA" w:rsidRDefault="00FA6102" w:rsidP="00CF7526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3775CA">
              <w:rPr>
                <w:rFonts w:cstheme="minorHAnsi"/>
                <w:b/>
                <w:bCs/>
                <w:lang w:val="en-US"/>
              </w:rPr>
              <w:t>(2)</w:t>
            </w:r>
          </w:p>
        </w:tc>
      </w:tr>
      <w:tr w:rsidR="00674FC1" w:rsidRPr="003775CA" w14:paraId="3C5517B4" w14:textId="77777777" w:rsidTr="00FA6102">
        <w:tc>
          <w:tcPr>
            <w:tcW w:w="4424" w:type="dxa"/>
            <w:tcBorders>
              <w:top w:val="single" w:sz="4" w:space="0" w:color="auto"/>
              <w:bottom w:val="nil"/>
              <w:right w:val="nil"/>
            </w:tcBorders>
          </w:tcPr>
          <w:p w14:paraId="17E27B28" w14:textId="234878E6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GEMON 2012V3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nil"/>
            </w:tcBorders>
          </w:tcPr>
          <w:p w14:paraId="669B6979" w14:textId="61F1233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proofErr w:type="spellStart"/>
            <w:r w:rsidRPr="003775CA">
              <w:rPr>
                <w:rFonts w:cstheme="minorHAnsi"/>
                <w:lang w:val="en-US"/>
              </w:rPr>
              <w:t>data_healthmon</w:t>
            </w:r>
            <w:proofErr w:type="spellEnd"/>
          </w:p>
        </w:tc>
      </w:tr>
      <w:tr w:rsidR="00674FC1" w:rsidRPr="003775CA" w14:paraId="4194FFBF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7B4C1316" w14:textId="27EF6C6F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GBAPERSOON2017TABV1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30852D6D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43651820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1DB8ACD4" w14:textId="7AA19373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GBAOVERLIJDENTAB2017V1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50CAF0D2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3601FC7D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1E4F8A73" w14:textId="3E7B712D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GBAHUISHOUDENS2017BUSV1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6C7F1E23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2F46477A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2B19BA29" w14:textId="7B60EAA6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GBAVERBINTENISPARTNER2014BUSV1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1507704B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0571A689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74C6FC13" w14:textId="24E0E8A3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GBAADRESOBJECT2017BUSV1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10C15573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12D6CBE9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677ABE03" w14:textId="23478C4B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VSLGWBTAB2017091V1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6AD85F5D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7B9A728D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44FF2E43" w14:textId="6264401A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NIETVSLGWB2018TABV4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0C9E9BAE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6788B21B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7DF45D96" w14:textId="46DAF950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130704 KINDOUDERTAB 2012v1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22B74771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3CB3296C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6B838A98" w14:textId="6AEE02C2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130614 MEDICIJNTAB 2011V1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3068E78D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01E8D046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4B3C5531" w14:textId="41C9CADF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ZVWZORGKOSTEN2011TABV1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649D0992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388C0C4F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5C8FE291" w14:textId="0326201C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ZORGMVTAB 2012V1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16F3B76F" w14:textId="7777777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674FC1" w:rsidRPr="003775CA" w14:paraId="591C6BA6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277B1FC5" w14:textId="74410527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GBAPERSOONTAB 2014V2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397E9811" w14:textId="5542A2E1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individualinfo_2014</w:t>
            </w:r>
          </w:p>
        </w:tc>
      </w:tr>
      <w:tr w:rsidR="00674FC1" w:rsidRPr="003775CA" w14:paraId="5BCAC7BB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325AA4AF" w14:textId="428C2A44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131001 GBAOVERLIJDENTAB 2012V2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5A6C9E32" w14:textId="4BE8B413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dod_2012</w:t>
            </w:r>
          </w:p>
        </w:tc>
      </w:tr>
      <w:tr w:rsidR="00674FC1" w:rsidRPr="003775CA" w14:paraId="4ED914F4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0D5D27DB" w14:textId="05A68A68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140606 GBAOVERLIJDENTAB 2013V1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49CEA4A5" w14:textId="310A0B2D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dod_2013</w:t>
            </w:r>
          </w:p>
        </w:tc>
      </w:tr>
      <w:tr w:rsidR="00674FC1" w:rsidRPr="003775CA" w14:paraId="7107ACCA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23505EE3" w14:textId="297C6981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INDICAWBZTAV2012V1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5D54EB0D" w14:textId="31DA7824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i/>
                <w:iCs/>
                <w:lang w:val="en-US"/>
              </w:rPr>
              <w:t xml:space="preserve">indication_2012.dta </w:t>
            </w:r>
          </w:p>
        </w:tc>
      </w:tr>
      <w:tr w:rsidR="00674FC1" w:rsidRPr="003775CA" w14:paraId="6D175477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7905C4F4" w14:textId="4F2E8A58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GEBZZVTAB2012V2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6D61CF8E" w14:textId="2B9C9806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zzv_new_2012</w:t>
            </w:r>
          </w:p>
        </w:tc>
      </w:tr>
      <w:tr w:rsidR="00674FC1" w:rsidRPr="003775CA" w14:paraId="0108A99E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52D3C79D" w14:textId="3D99F2C2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ZORGMVTAB 2012V1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219DACDA" w14:textId="1B4C9E98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zmv_2012</w:t>
            </w:r>
          </w:p>
        </w:tc>
      </w:tr>
      <w:tr w:rsidR="00674FC1" w:rsidRPr="003775CA" w14:paraId="1D3A61B5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7266A888" w14:textId="0140E905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PGBAWBZ2012TABV1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675C6E1A" w14:textId="28F764A8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pgb_2012</w:t>
            </w:r>
          </w:p>
        </w:tc>
      </w:tr>
      <w:tr w:rsidR="00674FC1" w:rsidRPr="003775CA" w14:paraId="4250F5ED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1552704C" w14:textId="7AEC0812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GBAHUISHOUDENS2017BUSV1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16AAC9A3" w14:textId="7371DEA5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hhinfo_2012</w:t>
            </w:r>
          </w:p>
        </w:tc>
      </w:tr>
      <w:tr w:rsidR="00674FC1" w:rsidRPr="003775CA" w14:paraId="5B0C8CB8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4217329D" w14:textId="3F967885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GBAVERBINTENISPARTNERBUS 2012V1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0EFD8ED9" w14:textId="4517604F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partners_2012</w:t>
            </w:r>
          </w:p>
        </w:tc>
      </w:tr>
      <w:tr w:rsidR="00674FC1" w:rsidRPr="003775CA" w14:paraId="07D105F1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2C5F9BB1" w14:textId="53A80E40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proofErr w:type="spellStart"/>
            <w:r w:rsidRPr="003775CA">
              <w:rPr>
                <w:rFonts w:cstheme="minorHAnsi"/>
                <w:lang w:val="en-US"/>
              </w:rPr>
              <w:t>Integraal</w:t>
            </w:r>
            <w:proofErr w:type="spellEnd"/>
            <w:r w:rsidRPr="003775C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775CA">
              <w:rPr>
                <w:rFonts w:cstheme="minorHAnsi"/>
                <w:lang w:val="en-US"/>
              </w:rPr>
              <w:t>Huishoudens</w:t>
            </w:r>
            <w:proofErr w:type="spellEnd"/>
            <w:r w:rsidRPr="003775C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775CA">
              <w:rPr>
                <w:rFonts w:cstheme="minorHAnsi"/>
                <w:lang w:val="en-US"/>
              </w:rPr>
              <w:t>Inkomen</w:t>
            </w:r>
            <w:proofErr w:type="spellEnd"/>
            <w:r w:rsidRPr="003775CA">
              <w:rPr>
                <w:rFonts w:cstheme="minorHAnsi"/>
                <w:lang w:val="en-US"/>
              </w:rPr>
              <w:t xml:space="preserve"> 2012V2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6AE4A8C5" w14:textId="40E66D2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hhincome_2011</w:t>
            </w:r>
          </w:p>
        </w:tc>
      </w:tr>
      <w:tr w:rsidR="00674FC1" w:rsidRPr="003775CA" w14:paraId="54C32F69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2555793F" w14:textId="392BC8C5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proofErr w:type="spellStart"/>
            <w:r w:rsidRPr="003775CA">
              <w:rPr>
                <w:rFonts w:cstheme="minorHAnsi"/>
                <w:lang w:val="en-US"/>
              </w:rPr>
              <w:t>ipi</w:t>
            </w:r>
            <w:proofErr w:type="spellEnd"/>
            <w:r w:rsidRPr="003775CA">
              <w:rPr>
                <w:rFonts w:cstheme="minorHAnsi"/>
                <w:lang w:val="en-US"/>
              </w:rPr>
              <w:t xml:space="preserve"> 2012V2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5B192413" w14:textId="7FCA6869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rinpersoonkern_2011</w:t>
            </w:r>
          </w:p>
        </w:tc>
      </w:tr>
      <w:tr w:rsidR="00674FC1" w:rsidRPr="003775CA" w14:paraId="5CBBA5AF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0922115E" w14:textId="71EA9953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proofErr w:type="spellStart"/>
            <w:r w:rsidRPr="003775CA">
              <w:rPr>
                <w:rFonts w:cstheme="minorHAnsi"/>
                <w:lang w:val="en-US"/>
              </w:rPr>
              <w:t>Integraal-Vermogen</w:t>
            </w:r>
            <w:proofErr w:type="spellEnd"/>
            <w:r w:rsidRPr="003775CA">
              <w:rPr>
                <w:rFonts w:cstheme="minorHAnsi"/>
                <w:lang w:val="en-US"/>
              </w:rPr>
              <w:t xml:space="preserve"> 2012V2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7B00FFE9" w14:textId="47082FF7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hhwealth_2012</w:t>
            </w:r>
          </w:p>
        </w:tc>
      </w:tr>
      <w:tr w:rsidR="00674FC1" w:rsidRPr="003775CA" w14:paraId="36CFB352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60293A90" w14:textId="6A3D5A7D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GBAADRESOBJECTBUS 2014V3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28B89EA7" w14:textId="36D9F732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address_2012</w:t>
            </w:r>
          </w:p>
        </w:tc>
      </w:tr>
      <w:tr w:rsidR="00674FC1" w:rsidRPr="003775CA" w14:paraId="1E76D5D0" w14:textId="77777777" w:rsidTr="00FA6102">
        <w:tc>
          <w:tcPr>
            <w:tcW w:w="4424" w:type="dxa"/>
            <w:tcBorders>
              <w:top w:val="nil"/>
              <w:bottom w:val="single" w:sz="4" w:space="0" w:color="auto"/>
              <w:right w:val="nil"/>
            </w:tcBorders>
          </w:tcPr>
          <w:p w14:paraId="57999300" w14:textId="1B2E6F07" w:rsidR="00674FC1" w:rsidRPr="003775CA" w:rsidRDefault="00E44466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141209 VSLGWTAB 2014V2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</w:tcBorders>
          </w:tcPr>
          <w:p w14:paraId="39A94BEE" w14:textId="7DBB2419" w:rsidR="00674FC1" w:rsidRPr="003775CA" w:rsidRDefault="00674FC1" w:rsidP="00CF7526">
            <w:pPr>
              <w:jc w:val="both"/>
              <w:rPr>
                <w:rFonts w:cstheme="minorHAnsi"/>
                <w:lang w:val="en-US"/>
              </w:rPr>
            </w:pPr>
            <w:r w:rsidRPr="003775CA">
              <w:rPr>
                <w:rFonts w:cstheme="minorHAnsi"/>
                <w:lang w:val="en-US"/>
              </w:rPr>
              <w:t>houses</w:t>
            </w:r>
          </w:p>
        </w:tc>
      </w:tr>
    </w:tbl>
    <w:p w14:paraId="3E75D61D" w14:textId="57E55AB4" w:rsidR="00730CDF" w:rsidRPr="003775CA" w:rsidRDefault="00730CDF" w:rsidP="00CF7526">
      <w:pPr>
        <w:spacing w:after="0"/>
        <w:ind w:left="360"/>
        <w:jc w:val="both"/>
        <w:rPr>
          <w:rFonts w:cstheme="minorHAnsi"/>
          <w:b/>
          <w:bCs/>
          <w:lang w:val="en-US"/>
        </w:rPr>
      </w:pPr>
    </w:p>
    <w:p w14:paraId="14D58190" w14:textId="77777777" w:rsidR="00B7708B" w:rsidRPr="003775CA" w:rsidRDefault="00B7708B" w:rsidP="00CF7526">
      <w:pPr>
        <w:spacing w:after="0"/>
        <w:ind w:left="360"/>
        <w:jc w:val="both"/>
        <w:rPr>
          <w:rFonts w:cstheme="minorHAnsi"/>
          <w:b/>
          <w:bCs/>
          <w:lang w:val="en-US"/>
        </w:rPr>
      </w:pPr>
    </w:p>
    <w:p w14:paraId="720E376A" w14:textId="77777777" w:rsidR="00D16BB6" w:rsidRDefault="00D16BB6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br w:type="page"/>
      </w:r>
    </w:p>
    <w:p w14:paraId="412C2778" w14:textId="23398E20" w:rsidR="00053D68" w:rsidRPr="003775CA" w:rsidRDefault="00053D68" w:rsidP="00CF7526">
      <w:pPr>
        <w:pStyle w:val="ListParagraph"/>
        <w:numPr>
          <w:ilvl w:val="1"/>
          <w:numId w:val="1"/>
        </w:numPr>
        <w:spacing w:after="0"/>
        <w:contextualSpacing w:val="0"/>
        <w:jc w:val="both"/>
        <w:rPr>
          <w:rFonts w:cstheme="minorHAnsi"/>
          <w:b/>
          <w:bCs/>
          <w:i/>
          <w:iCs/>
          <w:lang w:val="en-US"/>
        </w:rPr>
      </w:pPr>
      <w:r w:rsidRPr="003775CA">
        <w:rPr>
          <w:rFonts w:cstheme="minorHAnsi"/>
          <w:b/>
          <w:bCs/>
          <w:i/>
          <w:iCs/>
          <w:lang w:val="en-US"/>
        </w:rPr>
        <w:lastRenderedPageBreak/>
        <w:t>Code listings</w:t>
      </w:r>
    </w:p>
    <w:p w14:paraId="455F8FD3" w14:textId="52D6C236" w:rsidR="00B7708B" w:rsidRPr="003775CA" w:rsidRDefault="00FA6102" w:rsidP="00D16BB6">
      <w:pPr>
        <w:spacing w:before="120" w:after="120"/>
        <w:ind w:left="360"/>
        <w:jc w:val="both"/>
        <w:rPr>
          <w:rFonts w:cstheme="minorHAnsi"/>
          <w:u w:val="single"/>
          <w:lang w:val="en-US"/>
        </w:rPr>
      </w:pPr>
      <w:r w:rsidRPr="003775CA">
        <w:rPr>
          <w:rFonts w:cstheme="minorHAnsi"/>
          <w:lang w:val="en-US"/>
        </w:rPr>
        <w:t xml:space="preserve">We also combine aggregate level datasets that are directly provided by CBS. In the remote access </w:t>
      </w:r>
      <w:proofErr w:type="gramStart"/>
      <w:r w:rsidRPr="003775CA">
        <w:rPr>
          <w:rFonts w:cstheme="minorHAnsi"/>
          <w:lang w:val="en-US"/>
        </w:rPr>
        <w:t>environment</w:t>
      </w:r>
      <w:proofErr w:type="gramEnd"/>
      <w:r w:rsidRPr="003775CA">
        <w:rPr>
          <w:rFonts w:cstheme="minorHAnsi"/>
          <w:lang w:val="en-US"/>
        </w:rPr>
        <w:t xml:space="preserve"> they are called Code Listings, and can be found under: </w:t>
      </w:r>
      <w:r w:rsidR="00137110" w:rsidRPr="003775CA">
        <w:rPr>
          <w:rFonts w:cstheme="minorHAnsi"/>
          <w:i/>
          <w:iCs/>
          <w:lang w:val="en-US"/>
        </w:rPr>
        <w:t>K:\Utilities\Code_Listings</w:t>
      </w:r>
      <w:r w:rsidR="00EA325C" w:rsidRPr="003775CA">
        <w:rPr>
          <w:rFonts w:cstheme="minorHAnsi"/>
          <w:i/>
          <w:iCs/>
          <w:lang w:val="en-US"/>
        </w:rPr>
        <w:t xml:space="preserve">. </w:t>
      </w:r>
      <w:r w:rsidR="00EA325C" w:rsidRPr="003775CA">
        <w:rPr>
          <w:rFonts w:cstheme="minorHAnsi"/>
          <w:lang w:val="en-US"/>
        </w:rPr>
        <w:t>The code listings used in our project are listed in Table 2.</w:t>
      </w:r>
    </w:p>
    <w:p w14:paraId="42D238E4" w14:textId="54FB3CFD" w:rsidR="00FA6102" w:rsidRPr="003775CA" w:rsidRDefault="00FA6102" w:rsidP="00CF7526">
      <w:pPr>
        <w:pStyle w:val="ListParagraph"/>
        <w:spacing w:after="0"/>
        <w:ind w:left="810"/>
        <w:contextualSpacing w:val="0"/>
        <w:jc w:val="center"/>
        <w:rPr>
          <w:rFonts w:cstheme="minorHAnsi"/>
          <w:u w:val="single"/>
          <w:lang w:val="en-US"/>
        </w:rPr>
      </w:pPr>
      <w:r w:rsidRPr="003775CA">
        <w:rPr>
          <w:rFonts w:cstheme="minorHAnsi"/>
          <w:u w:val="single"/>
          <w:lang w:val="en-US"/>
        </w:rPr>
        <w:t>Table 2: Name of code listings in the CBS remote access environment and in our code (if different)</w:t>
      </w:r>
    </w:p>
    <w:tbl>
      <w:tblPr>
        <w:tblStyle w:val="TableGrid"/>
        <w:tblW w:w="8849" w:type="dxa"/>
        <w:tblInd w:w="360" w:type="dxa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425"/>
      </w:tblGrid>
      <w:tr w:rsidR="00FA6102" w:rsidRPr="00AE4967" w14:paraId="1DE61CF6" w14:textId="77777777" w:rsidTr="00B07E28">
        <w:tc>
          <w:tcPr>
            <w:tcW w:w="4424" w:type="dxa"/>
            <w:tcBorders>
              <w:top w:val="single" w:sz="4" w:space="0" w:color="auto"/>
              <w:bottom w:val="nil"/>
              <w:right w:val="nil"/>
            </w:tcBorders>
          </w:tcPr>
          <w:p w14:paraId="502573AE" w14:textId="77777777" w:rsidR="00FA6102" w:rsidRPr="003775CA" w:rsidRDefault="00FA6102" w:rsidP="00CF7526">
            <w:pPr>
              <w:jc w:val="center"/>
              <w:rPr>
                <w:rFonts w:cstheme="minorHAnsi"/>
                <w:b/>
                <w:bCs/>
                <w:i/>
                <w:iCs/>
                <w:lang w:val="en-US"/>
              </w:rPr>
            </w:pPr>
            <w:r w:rsidRPr="003775CA">
              <w:rPr>
                <w:rFonts w:cstheme="minorHAnsi"/>
                <w:b/>
                <w:bCs/>
                <w:i/>
                <w:iCs/>
                <w:lang w:val="en-US"/>
              </w:rPr>
              <w:t>Name of dataset in the CBS remote access environment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nil"/>
            </w:tcBorders>
          </w:tcPr>
          <w:p w14:paraId="47D3A823" w14:textId="77777777" w:rsidR="00FA6102" w:rsidRPr="003775CA" w:rsidRDefault="00FA6102" w:rsidP="00CF7526">
            <w:pPr>
              <w:jc w:val="center"/>
              <w:rPr>
                <w:rFonts w:cstheme="minorHAnsi"/>
                <w:b/>
                <w:bCs/>
                <w:i/>
                <w:iCs/>
                <w:lang w:val="en-US"/>
              </w:rPr>
            </w:pPr>
            <w:r w:rsidRPr="003775CA">
              <w:rPr>
                <w:rFonts w:cstheme="minorHAnsi"/>
                <w:b/>
                <w:bCs/>
                <w:i/>
                <w:iCs/>
                <w:lang w:val="en-US"/>
              </w:rPr>
              <w:t xml:space="preserve">Name in our code </w:t>
            </w:r>
            <w:r w:rsidRPr="003775CA">
              <w:rPr>
                <w:rFonts w:cstheme="minorHAnsi"/>
                <w:b/>
                <w:bCs/>
                <w:lang w:val="en-US"/>
              </w:rPr>
              <w:t>(if different)</w:t>
            </w:r>
          </w:p>
        </w:tc>
      </w:tr>
      <w:tr w:rsidR="00FA6102" w:rsidRPr="003775CA" w14:paraId="13D5C4A5" w14:textId="77777777" w:rsidTr="00B07E28">
        <w:tc>
          <w:tcPr>
            <w:tcW w:w="4424" w:type="dxa"/>
            <w:tcBorders>
              <w:top w:val="nil"/>
              <w:bottom w:val="single" w:sz="4" w:space="0" w:color="auto"/>
              <w:right w:val="nil"/>
            </w:tcBorders>
          </w:tcPr>
          <w:p w14:paraId="1FF1BF78" w14:textId="77777777" w:rsidR="00FA6102" w:rsidRPr="003775CA" w:rsidRDefault="00FA6102" w:rsidP="00CF7526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3775CA">
              <w:rPr>
                <w:rFonts w:cstheme="minorHAnsi"/>
                <w:b/>
                <w:bCs/>
                <w:lang w:val="en-US"/>
              </w:rPr>
              <w:t>(1)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</w:tcBorders>
          </w:tcPr>
          <w:p w14:paraId="184B179E" w14:textId="77777777" w:rsidR="00FA6102" w:rsidRPr="003775CA" w:rsidRDefault="00FA6102" w:rsidP="00CF7526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3775CA">
              <w:rPr>
                <w:rFonts w:cstheme="minorHAnsi"/>
                <w:b/>
                <w:bCs/>
                <w:lang w:val="en-US"/>
              </w:rPr>
              <w:t>(2)</w:t>
            </w:r>
          </w:p>
        </w:tc>
      </w:tr>
      <w:tr w:rsidR="00FA6102" w:rsidRPr="003775CA" w14:paraId="0FA18EB4" w14:textId="77777777" w:rsidTr="00B07E28">
        <w:tc>
          <w:tcPr>
            <w:tcW w:w="4424" w:type="dxa"/>
            <w:tcBorders>
              <w:top w:val="single" w:sz="4" w:space="0" w:color="auto"/>
              <w:bottom w:val="nil"/>
              <w:right w:val="nil"/>
            </w:tcBorders>
          </w:tcPr>
          <w:p w14:paraId="0AE5A2EB" w14:textId="6495C418" w:rsidR="00FA6102" w:rsidRPr="003775CA" w:rsidRDefault="00FA6102" w:rsidP="00CF7526">
            <w:pPr>
              <w:jc w:val="both"/>
              <w:rPr>
                <w:rFonts w:cstheme="minorHAnsi"/>
              </w:rPr>
            </w:pPr>
            <w:r w:rsidRPr="003775CA">
              <w:rPr>
                <w:rFonts w:cstheme="minorHAnsi"/>
              </w:rPr>
              <w:t>Gebieden in Nederland\geconverteerde bestanden\131204 GIN 2013V1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nil"/>
            </w:tcBorders>
          </w:tcPr>
          <w:p w14:paraId="26A7D4F5" w14:textId="08AF0D3D" w:rsidR="00FA6102" w:rsidRPr="003775CA" w:rsidRDefault="00FA6102" w:rsidP="00CF7526">
            <w:pPr>
              <w:ind w:left="360"/>
              <w:rPr>
                <w:rFonts w:cstheme="minorHAnsi"/>
              </w:rPr>
            </w:pPr>
            <w:r w:rsidRPr="003775CA">
              <w:rPr>
                <w:rFonts w:cstheme="minorHAnsi"/>
                <w:lang w:val="en-US"/>
              </w:rPr>
              <w:t>data_</w:t>
            </w:r>
            <w:r w:rsidRPr="003775CA">
              <w:rPr>
                <w:rFonts w:cstheme="minorHAnsi"/>
              </w:rPr>
              <w:t xml:space="preserve"> </w:t>
            </w:r>
            <w:proofErr w:type="spellStart"/>
            <w:r w:rsidRPr="003775CA">
              <w:rPr>
                <w:rFonts w:cstheme="minorHAnsi"/>
              </w:rPr>
              <w:t>CIZ_regions_clean</w:t>
            </w:r>
            <w:proofErr w:type="spellEnd"/>
          </w:p>
        </w:tc>
      </w:tr>
      <w:tr w:rsidR="00FA6102" w:rsidRPr="003775CA" w14:paraId="20343332" w14:textId="77777777" w:rsidTr="00FA6102">
        <w:tc>
          <w:tcPr>
            <w:tcW w:w="4424" w:type="dxa"/>
            <w:tcBorders>
              <w:top w:val="nil"/>
              <w:bottom w:val="nil"/>
              <w:right w:val="nil"/>
            </w:tcBorders>
          </w:tcPr>
          <w:p w14:paraId="43EC3EBF" w14:textId="267FA362" w:rsidR="00FA6102" w:rsidRPr="003775CA" w:rsidRDefault="00FA6102" w:rsidP="00CF7526">
            <w:pPr>
              <w:jc w:val="both"/>
              <w:rPr>
                <w:rFonts w:cstheme="minorHAnsi"/>
              </w:rPr>
            </w:pPr>
            <w:r w:rsidRPr="003775CA">
              <w:rPr>
                <w:rFonts w:cstheme="minorHAnsi"/>
              </w:rPr>
              <w:t>Gebieden in Nederland\geconverteerde bestanden\131204 GIN 2013V1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</w:tcBorders>
          </w:tcPr>
          <w:p w14:paraId="592FF76F" w14:textId="602E6A7D" w:rsidR="00FA6102" w:rsidRPr="003775CA" w:rsidRDefault="00FA6102" w:rsidP="00CF7526">
            <w:pPr>
              <w:ind w:left="360"/>
              <w:rPr>
                <w:rFonts w:cstheme="minorHAnsi"/>
              </w:rPr>
            </w:pPr>
            <w:r w:rsidRPr="003775CA">
              <w:rPr>
                <w:rFonts w:cstheme="minorHAnsi"/>
              </w:rPr>
              <w:t>CAK_regions_2013</w:t>
            </w:r>
          </w:p>
        </w:tc>
      </w:tr>
      <w:tr w:rsidR="00FA6102" w:rsidRPr="003775CA" w14:paraId="031C84AE" w14:textId="77777777" w:rsidTr="00FA6102">
        <w:tc>
          <w:tcPr>
            <w:tcW w:w="4424" w:type="dxa"/>
            <w:tcBorders>
              <w:top w:val="nil"/>
              <w:bottom w:val="single" w:sz="4" w:space="0" w:color="auto"/>
              <w:right w:val="nil"/>
            </w:tcBorders>
          </w:tcPr>
          <w:p w14:paraId="0D9CBECA" w14:textId="20659786" w:rsidR="00FA6102" w:rsidRPr="003775CA" w:rsidRDefault="00EA325C" w:rsidP="00CF7526">
            <w:pPr>
              <w:jc w:val="both"/>
              <w:rPr>
                <w:rFonts w:cstheme="minorHAnsi"/>
              </w:rPr>
            </w:pPr>
            <w:r w:rsidRPr="003775CA">
              <w:rPr>
                <w:rFonts w:cstheme="minorHAnsi"/>
              </w:rPr>
              <w:t>Landen- en nationaliteitscodes\ 120123 omrekentabel land naar herkomstgroepering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</w:tcBorders>
          </w:tcPr>
          <w:p w14:paraId="514FF2A5" w14:textId="6EF16491" w:rsidR="00FA6102" w:rsidRPr="003775CA" w:rsidRDefault="00EA325C" w:rsidP="00CF7526">
            <w:pPr>
              <w:pStyle w:val="ListParagraph"/>
              <w:contextualSpacing w:val="0"/>
              <w:rPr>
                <w:rFonts w:cstheme="minorHAnsi"/>
              </w:rPr>
            </w:pPr>
            <w:proofErr w:type="spellStart"/>
            <w:r w:rsidRPr="003775CA">
              <w:rPr>
                <w:rFonts w:cstheme="minorHAnsi"/>
              </w:rPr>
              <w:t>Origin_codes</w:t>
            </w:r>
            <w:proofErr w:type="spellEnd"/>
          </w:p>
        </w:tc>
      </w:tr>
    </w:tbl>
    <w:p w14:paraId="64E6854A" w14:textId="0021F713" w:rsidR="00697867" w:rsidRPr="003775CA" w:rsidRDefault="00697867" w:rsidP="00CF7526">
      <w:pPr>
        <w:pStyle w:val="ListParagraph"/>
        <w:spacing w:after="0"/>
        <w:contextualSpacing w:val="0"/>
        <w:jc w:val="both"/>
        <w:rPr>
          <w:rFonts w:cstheme="minorHAnsi"/>
          <w:i/>
          <w:iCs/>
          <w:lang w:val="en-US"/>
        </w:rPr>
      </w:pPr>
    </w:p>
    <w:p w14:paraId="32105311" w14:textId="77777777" w:rsidR="00B7708B" w:rsidRPr="003775CA" w:rsidRDefault="00B7708B" w:rsidP="00CF7526">
      <w:pPr>
        <w:pStyle w:val="ListParagraph"/>
        <w:spacing w:after="0"/>
        <w:contextualSpacing w:val="0"/>
        <w:jc w:val="both"/>
        <w:rPr>
          <w:rFonts w:cstheme="minorHAnsi"/>
          <w:i/>
          <w:iCs/>
          <w:lang w:val="en-US"/>
        </w:rPr>
      </w:pPr>
    </w:p>
    <w:p w14:paraId="61728EAB" w14:textId="2FB64FD9" w:rsidR="00053D68" w:rsidRPr="003775CA" w:rsidRDefault="00B7708B" w:rsidP="00B7708B">
      <w:pPr>
        <w:pStyle w:val="ListParagraph"/>
        <w:numPr>
          <w:ilvl w:val="1"/>
          <w:numId w:val="1"/>
        </w:numPr>
        <w:rPr>
          <w:rFonts w:cstheme="minorHAnsi"/>
          <w:b/>
          <w:bCs/>
          <w:i/>
          <w:iCs/>
          <w:lang w:val="en-US"/>
        </w:rPr>
      </w:pPr>
      <w:r w:rsidRPr="003775CA">
        <w:rPr>
          <w:rFonts w:cstheme="minorHAnsi"/>
          <w:b/>
          <w:bCs/>
          <w:i/>
          <w:iCs/>
          <w:lang w:val="en-US"/>
        </w:rPr>
        <w:t>E</w:t>
      </w:r>
      <w:r w:rsidR="00EA325C" w:rsidRPr="003775CA">
        <w:rPr>
          <w:rFonts w:cstheme="minorHAnsi"/>
          <w:b/>
          <w:bCs/>
          <w:i/>
          <w:iCs/>
          <w:lang w:val="en-US"/>
        </w:rPr>
        <w:t>xternal</w:t>
      </w:r>
      <w:r w:rsidR="00053D68" w:rsidRPr="003775CA">
        <w:rPr>
          <w:rFonts w:cstheme="minorHAnsi"/>
          <w:b/>
          <w:bCs/>
          <w:i/>
          <w:iCs/>
          <w:lang w:val="en-US"/>
        </w:rPr>
        <w:t xml:space="preserve"> information </w:t>
      </w:r>
      <w:r w:rsidR="00EA325C" w:rsidRPr="003775CA">
        <w:rPr>
          <w:rFonts w:cstheme="minorHAnsi"/>
          <w:b/>
          <w:bCs/>
          <w:i/>
          <w:iCs/>
          <w:lang w:val="en-US"/>
        </w:rPr>
        <w:t>used</w:t>
      </w:r>
    </w:p>
    <w:p w14:paraId="22731FAB" w14:textId="624A1203" w:rsidR="00EA325C" w:rsidRPr="003775CA" w:rsidRDefault="00EA325C" w:rsidP="00CF7526">
      <w:pPr>
        <w:spacing w:before="120" w:after="120"/>
        <w:ind w:left="36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Finally, we </w:t>
      </w:r>
      <w:r w:rsidR="00B2445A" w:rsidRPr="003775CA">
        <w:rPr>
          <w:rFonts w:cstheme="minorHAnsi"/>
          <w:lang w:val="en-US"/>
        </w:rPr>
        <w:t>combine the microdata with</w:t>
      </w:r>
      <w:r w:rsidRPr="003775CA">
        <w:rPr>
          <w:rFonts w:cstheme="minorHAnsi"/>
          <w:lang w:val="en-US"/>
        </w:rPr>
        <w:t xml:space="preserve"> external information </w:t>
      </w:r>
      <w:r w:rsidR="00B2445A" w:rsidRPr="003775CA">
        <w:rPr>
          <w:rFonts w:cstheme="minorHAnsi"/>
          <w:lang w:val="en-US"/>
        </w:rPr>
        <w:t xml:space="preserve">relating to care benefits and their tariffs, </w:t>
      </w:r>
      <w:proofErr w:type="gramStart"/>
      <w:r w:rsidR="00B2445A" w:rsidRPr="003775CA">
        <w:rPr>
          <w:rFonts w:cstheme="minorHAnsi"/>
          <w:lang w:val="en-US"/>
        </w:rPr>
        <w:t>in order to</w:t>
      </w:r>
      <w:proofErr w:type="gramEnd"/>
      <w:r w:rsidR="00B2445A" w:rsidRPr="003775CA">
        <w:rPr>
          <w:rFonts w:cstheme="minorHAnsi"/>
          <w:lang w:val="en-US"/>
        </w:rPr>
        <w:t xml:space="preserve"> compute the monetary value of care entitlements and use.</w:t>
      </w:r>
    </w:p>
    <w:p w14:paraId="4EA1E6E3" w14:textId="5C58ECBF" w:rsidR="00B2445A" w:rsidRPr="003775CA" w:rsidRDefault="00B2445A" w:rsidP="00CF7526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We import information relating to rules for the conversion of entitlements to in-kind care into the receipt of personal budgets (long-term care vouchers). This information was taken from: </w:t>
      </w:r>
      <w:r w:rsidRPr="003775CA">
        <w:rPr>
          <w:rFonts w:eastAsia="Times New Roman" w:cstheme="minorHAnsi"/>
          <w:color w:val="000000"/>
          <w:lang w:val="en-US" w:eastAsia="nl-NL"/>
        </w:rPr>
        <w:t>The figures and information come from:</w:t>
      </w:r>
    </w:p>
    <w:p w14:paraId="50BC1E74" w14:textId="12337D41" w:rsidR="00B2445A" w:rsidRPr="003775CA" w:rsidRDefault="00B2445A" w:rsidP="00CF7526">
      <w:pPr>
        <w:spacing w:before="120" w:after="120"/>
        <w:ind w:left="708"/>
        <w:jc w:val="both"/>
        <w:rPr>
          <w:rFonts w:cstheme="minorHAnsi"/>
          <w:lang w:val="en-US"/>
        </w:rPr>
      </w:pPr>
      <w:r w:rsidRPr="003775CA">
        <w:rPr>
          <w:rFonts w:eastAsia="Times New Roman" w:cstheme="minorHAnsi"/>
          <w:color w:val="000000"/>
          <w:lang w:eastAsia="nl-NL"/>
        </w:rPr>
        <w:t xml:space="preserve">College voor </w:t>
      </w:r>
      <w:proofErr w:type="spellStart"/>
      <w:r w:rsidRPr="003775CA">
        <w:rPr>
          <w:rFonts w:eastAsia="Times New Roman" w:cstheme="minorHAnsi"/>
          <w:color w:val="000000"/>
          <w:lang w:eastAsia="nl-NL"/>
        </w:rPr>
        <w:t>Zorgverzekeringe.n</w:t>
      </w:r>
      <w:proofErr w:type="spellEnd"/>
      <w:r w:rsidRPr="003775CA">
        <w:rPr>
          <w:rFonts w:eastAsia="Times New Roman" w:cstheme="minorHAnsi"/>
          <w:color w:val="000000"/>
          <w:lang w:eastAsia="nl-NL"/>
        </w:rPr>
        <w:t xml:space="preserve"> </w:t>
      </w:r>
      <w:r w:rsidRPr="003775CA">
        <w:rPr>
          <w:rFonts w:cstheme="minorHAnsi"/>
        </w:rPr>
        <w:t>"</w:t>
      </w:r>
      <w:hyperlink r:id="rId19" w:history="1">
        <w:r w:rsidRPr="003775CA">
          <w:rPr>
            <w:rStyle w:val="Hyperlink"/>
            <w:rFonts w:cstheme="minorHAnsi"/>
          </w:rPr>
          <w:t xml:space="preserve">Zelf uw zorg inkopen in 8 stappen 2012. </w:t>
        </w:r>
        <w:proofErr w:type="spellStart"/>
        <w:r w:rsidRPr="003775CA">
          <w:rPr>
            <w:rStyle w:val="Hyperlink"/>
            <w:rFonts w:cstheme="minorHAnsi"/>
            <w:lang w:val="en-US"/>
          </w:rPr>
          <w:t>Persoonsgebonden</w:t>
        </w:r>
        <w:proofErr w:type="spellEnd"/>
        <w:r w:rsidRPr="003775CA">
          <w:rPr>
            <w:rStyle w:val="Hyperlink"/>
            <w:rFonts w:cstheme="minorHAnsi"/>
            <w:lang w:val="en-US"/>
          </w:rPr>
          <w:t xml:space="preserve"> budget AWBZ</w:t>
        </w:r>
        <w:r w:rsidRPr="003775CA">
          <w:rPr>
            <w:rStyle w:val="Hyperlink"/>
            <w:rFonts w:cstheme="minorHAnsi"/>
            <w:lang w:val="en-US"/>
          </w:rPr>
          <w:br/>
        </w:r>
        <w:proofErr w:type="spellStart"/>
        <w:r w:rsidRPr="003775CA">
          <w:rPr>
            <w:rStyle w:val="Hyperlink"/>
            <w:rFonts w:cstheme="minorHAnsi"/>
            <w:lang w:val="en-US"/>
          </w:rPr>
          <w:t>Vergoedingsregeling</w:t>
        </w:r>
        <w:proofErr w:type="spellEnd"/>
        <w:r w:rsidRPr="003775CA">
          <w:rPr>
            <w:rStyle w:val="Hyperlink"/>
            <w:rFonts w:cstheme="minorHAnsi"/>
            <w:lang w:val="en-US"/>
          </w:rPr>
          <w:t xml:space="preserve"> </w:t>
        </w:r>
        <w:proofErr w:type="spellStart"/>
        <w:r w:rsidRPr="003775CA">
          <w:rPr>
            <w:rStyle w:val="Hyperlink"/>
            <w:rFonts w:cstheme="minorHAnsi"/>
            <w:lang w:val="en-US"/>
          </w:rPr>
          <w:t>persoonlijke</w:t>
        </w:r>
        <w:proofErr w:type="spellEnd"/>
        <w:r w:rsidRPr="003775CA">
          <w:rPr>
            <w:rStyle w:val="Hyperlink"/>
            <w:rFonts w:cstheme="minorHAnsi"/>
            <w:lang w:val="en-US"/>
          </w:rPr>
          <w:t xml:space="preserve"> </w:t>
        </w:r>
        <w:proofErr w:type="spellStart"/>
        <w:r w:rsidRPr="003775CA">
          <w:rPr>
            <w:rStyle w:val="Hyperlink"/>
            <w:rFonts w:cstheme="minorHAnsi"/>
            <w:lang w:val="en-US"/>
          </w:rPr>
          <w:t>zorg</w:t>
        </w:r>
        <w:proofErr w:type="spellEnd"/>
      </w:hyperlink>
      <w:r w:rsidRPr="003775CA">
        <w:rPr>
          <w:rFonts w:cstheme="minorHAnsi"/>
          <w:lang w:val="en-US"/>
        </w:rPr>
        <w:t>”</w:t>
      </w:r>
    </w:p>
    <w:p w14:paraId="7E177CDB" w14:textId="06217B2D" w:rsidR="00B2445A" w:rsidRPr="003775CA" w:rsidRDefault="00B2445A" w:rsidP="00AE4967">
      <w:pPr>
        <w:spacing w:before="120" w:after="120"/>
        <w:ind w:left="708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We coded the information to the following </w:t>
      </w:r>
      <w:r w:rsidR="00DD3D9E">
        <w:rPr>
          <w:rFonts w:cstheme="minorHAnsi"/>
          <w:lang w:val="en-US"/>
        </w:rPr>
        <w:t>file</w:t>
      </w:r>
      <w:r w:rsidRPr="003775CA">
        <w:rPr>
          <w:rFonts w:cstheme="minorHAnsi"/>
          <w:lang w:val="en-US"/>
        </w:rPr>
        <w:t xml:space="preserve">, which we make available together with the </w:t>
      </w:r>
      <w:proofErr w:type="spellStart"/>
      <w:r w:rsidRPr="003775CA">
        <w:rPr>
          <w:rFonts w:cstheme="minorHAnsi"/>
          <w:lang w:val="en-US"/>
        </w:rPr>
        <w:t>dofiles</w:t>
      </w:r>
      <w:proofErr w:type="spellEnd"/>
      <w:r w:rsidRPr="003775CA">
        <w:rPr>
          <w:rFonts w:cstheme="minorHAnsi"/>
          <w:lang w:val="en-US"/>
        </w:rPr>
        <w:t xml:space="preserve"> of the project</w:t>
      </w:r>
      <w:r w:rsidR="00AE4967">
        <w:rPr>
          <w:rFonts w:cstheme="minorHAnsi"/>
          <w:lang w:val="en-US"/>
        </w:rPr>
        <w:t xml:space="preserve"> (</w:t>
      </w:r>
      <w:r w:rsidR="00AE4967">
        <w:rPr>
          <w:rFonts w:cstheme="minorHAnsi"/>
          <w:lang w:val="en-US"/>
        </w:rPr>
        <w:t xml:space="preserve">using the following DOI: </w:t>
      </w:r>
      <w:r w:rsidR="00AE4967" w:rsidRPr="00AE4967">
        <w:rPr>
          <w:lang w:val="en-US"/>
        </w:rPr>
        <w:t>10.25397/eur.14394158</w:t>
      </w:r>
      <w:r w:rsidR="00AE4967">
        <w:rPr>
          <w:rFonts w:cstheme="minorHAnsi"/>
          <w:lang w:val="en-US"/>
        </w:rPr>
        <w:t>)</w:t>
      </w:r>
    </w:p>
    <w:p w14:paraId="4C361ABA" w14:textId="4D95570D" w:rsidR="00B2445A" w:rsidRPr="003775CA" w:rsidRDefault="00B2445A" w:rsidP="00CF7526">
      <w:pPr>
        <w:spacing w:before="120" w:after="120"/>
        <w:ind w:left="708" w:firstLine="2"/>
        <w:jc w:val="center"/>
        <w:rPr>
          <w:rFonts w:cstheme="minorHAnsi"/>
          <w:lang w:val="en-US"/>
        </w:rPr>
      </w:pPr>
      <w:r w:rsidRPr="003775CA">
        <w:rPr>
          <w:rFonts w:cstheme="minorHAnsi"/>
          <w:highlight w:val="lightGray"/>
          <w:lang w:val="en-US"/>
        </w:rPr>
        <w:t xml:space="preserve">Conversion </w:t>
      </w:r>
      <w:proofErr w:type="spellStart"/>
      <w:r w:rsidRPr="003775CA">
        <w:rPr>
          <w:rFonts w:cstheme="minorHAnsi"/>
          <w:highlight w:val="lightGray"/>
          <w:lang w:val="en-US"/>
        </w:rPr>
        <w:t>grids_personal</w:t>
      </w:r>
      <w:proofErr w:type="spellEnd"/>
      <w:r w:rsidRPr="003775CA">
        <w:rPr>
          <w:rFonts w:cstheme="minorHAnsi"/>
          <w:highlight w:val="lightGray"/>
          <w:lang w:val="en-US"/>
        </w:rPr>
        <w:t xml:space="preserve"> budge</w:t>
      </w:r>
      <w:r w:rsidRPr="00DD3D9E">
        <w:rPr>
          <w:rFonts w:cstheme="minorHAnsi"/>
          <w:highlight w:val="lightGray"/>
          <w:lang w:val="en-US"/>
        </w:rPr>
        <w:t>t</w:t>
      </w:r>
      <w:r w:rsidRPr="008B6AF1">
        <w:rPr>
          <w:rFonts w:cstheme="minorHAnsi"/>
          <w:highlight w:val="lightGray"/>
          <w:lang w:val="en-US"/>
        </w:rPr>
        <w:t>.</w:t>
      </w:r>
      <w:r w:rsidR="008B6AF1" w:rsidRPr="008B6AF1">
        <w:rPr>
          <w:rFonts w:cstheme="minorHAnsi"/>
          <w:highlight w:val="lightGray"/>
          <w:lang w:val="en-US"/>
        </w:rPr>
        <w:t>xlsx</w:t>
      </w:r>
    </w:p>
    <w:p w14:paraId="1E12077D" w14:textId="5001A7B0" w:rsidR="00B2445A" w:rsidRPr="003775CA" w:rsidRDefault="00B2445A" w:rsidP="00CF7526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We import information on the daily tariff paid for institutional care. We use information publicly available on CBS website (</w:t>
      </w:r>
      <w:proofErr w:type="spellStart"/>
      <w:r w:rsidRPr="003775CA">
        <w:rPr>
          <w:rFonts w:cstheme="minorHAnsi"/>
          <w:lang w:val="en-US"/>
        </w:rPr>
        <w:t>StaLine</w:t>
      </w:r>
      <w:proofErr w:type="spellEnd"/>
      <w:r w:rsidRPr="003775CA">
        <w:rPr>
          <w:rFonts w:cstheme="minorHAnsi"/>
          <w:lang w:val="en-US"/>
        </w:rPr>
        <w:t xml:space="preserve">, Monitor </w:t>
      </w:r>
      <w:proofErr w:type="spellStart"/>
      <w:r w:rsidRPr="003775CA">
        <w:rPr>
          <w:rFonts w:cstheme="minorHAnsi"/>
          <w:lang w:val="en-US"/>
        </w:rPr>
        <w:t>Langdurige</w:t>
      </w:r>
      <w:proofErr w:type="spellEnd"/>
      <w:r w:rsidRPr="003775CA">
        <w:rPr>
          <w:rFonts w:cstheme="minorHAnsi"/>
          <w:lang w:val="en-US"/>
        </w:rPr>
        <w:t xml:space="preserve"> Zorg). For each care package (ZZP), we compute the average tariff per day spent in institutional care in 2012 as the ratio of total spending (</w:t>
      </w:r>
      <w:proofErr w:type="spellStart"/>
      <w:r w:rsidRPr="003775CA">
        <w:rPr>
          <w:rFonts w:cstheme="minorHAnsi"/>
          <w:i/>
          <w:iCs/>
          <w:lang w:val="en-US"/>
        </w:rPr>
        <w:t>uitgaven</w:t>
      </w:r>
      <w:proofErr w:type="spellEnd"/>
      <w:r w:rsidRPr="003775CA">
        <w:rPr>
          <w:rFonts w:cstheme="minorHAnsi"/>
          <w:lang w:val="en-US"/>
        </w:rPr>
        <w:t>) to number of days of care (</w:t>
      </w:r>
      <w:r w:rsidRPr="003775CA">
        <w:rPr>
          <w:rFonts w:cstheme="minorHAnsi"/>
          <w:i/>
          <w:iCs/>
          <w:lang w:val="en-US"/>
        </w:rPr>
        <w:t>volume</w:t>
      </w:r>
      <w:r w:rsidRPr="003775CA">
        <w:rPr>
          <w:rFonts w:cstheme="minorHAnsi"/>
          <w:lang w:val="en-US"/>
        </w:rPr>
        <w:t xml:space="preserve">), based on the </w:t>
      </w:r>
      <w:r w:rsidR="00ED775B" w:rsidRPr="003775CA">
        <w:rPr>
          <w:rFonts w:cstheme="minorHAnsi"/>
          <w:lang w:val="en-US"/>
        </w:rPr>
        <w:t>a posteriori accounting approach (</w:t>
      </w:r>
      <w:proofErr w:type="spellStart"/>
      <w:r w:rsidR="00ED775B" w:rsidRPr="003775CA">
        <w:rPr>
          <w:rFonts w:cstheme="minorHAnsi"/>
          <w:i/>
          <w:iCs/>
          <w:lang w:val="en-US"/>
        </w:rPr>
        <w:t>nacalculatie</w:t>
      </w:r>
      <w:proofErr w:type="spellEnd"/>
      <w:r w:rsidR="00ED775B" w:rsidRPr="003775CA">
        <w:rPr>
          <w:rFonts w:cstheme="minorHAnsi"/>
          <w:lang w:val="en-US"/>
        </w:rPr>
        <w:t xml:space="preserve">). The data can be found at: </w:t>
      </w:r>
    </w:p>
    <w:p w14:paraId="06C0C221" w14:textId="439F54D3" w:rsidR="00B2445A" w:rsidRPr="003775CA" w:rsidRDefault="00212F4C" w:rsidP="00CF7526">
      <w:pPr>
        <w:pStyle w:val="ListParagraph"/>
        <w:spacing w:before="120" w:after="120"/>
        <w:contextualSpacing w:val="0"/>
        <w:jc w:val="both"/>
        <w:rPr>
          <w:rFonts w:cstheme="minorHAnsi"/>
          <w:lang w:val="en-US"/>
        </w:rPr>
      </w:pPr>
      <w:hyperlink r:id="rId20" w:anchor="/MLZ/nl/dataset/40026NED/table?dl=9BE4" w:history="1">
        <w:r w:rsidR="00ED775B" w:rsidRPr="003775CA">
          <w:rPr>
            <w:rStyle w:val="Hyperlink"/>
            <w:rFonts w:cstheme="minorHAnsi"/>
            <w:lang w:val="en-US"/>
          </w:rPr>
          <w:t>https://mlzopendata.cbs.nl/#/MLZ/nl/dataset/40026NED/table?dl=9BE4</w:t>
        </w:r>
      </w:hyperlink>
      <w:r w:rsidR="00ED775B" w:rsidRPr="003775CA">
        <w:rPr>
          <w:rFonts w:cstheme="minorHAnsi"/>
          <w:lang w:val="en-US"/>
        </w:rPr>
        <w:t xml:space="preserve"> </w:t>
      </w:r>
      <w:r w:rsidR="00B2445A" w:rsidRPr="003775CA">
        <w:rPr>
          <w:rFonts w:cstheme="minorHAnsi"/>
          <w:lang w:val="en-US"/>
        </w:rPr>
        <w:t>(consulted on April 1</w:t>
      </w:r>
      <w:r w:rsidR="00B2445A" w:rsidRPr="003775CA">
        <w:rPr>
          <w:rFonts w:cstheme="minorHAnsi"/>
          <w:vertAlign w:val="superscript"/>
          <w:lang w:val="en-US"/>
        </w:rPr>
        <w:t>st</w:t>
      </w:r>
      <w:proofErr w:type="gramStart"/>
      <w:r w:rsidR="00B2445A" w:rsidRPr="003775CA">
        <w:rPr>
          <w:rFonts w:cstheme="minorHAnsi"/>
          <w:lang w:val="en-US"/>
        </w:rPr>
        <w:t xml:space="preserve"> 2021</w:t>
      </w:r>
      <w:proofErr w:type="gramEnd"/>
      <w:r w:rsidR="00B2445A" w:rsidRPr="003775CA">
        <w:rPr>
          <w:rFonts w:cstheme="minorHAnsi"/>
          <w:lang w:val="en-US"/>
        </w:rPr>
        <w:t xml:space="preserve">). </w:t>
      </w:r>
    </w:p>
    <w:p w14:paraId="5285FC7E" w14:textId="58A37289" w:rsidR="00D571CD" w:rsidRPr="003775CA" w:rsidRDefault="00D571CD" w:rsidP="00CF7526">
      <w:pPr>
        <w:pStyle w:val="ListParagraph"/>
        <w:spacing w:before="120" w:after="120"/>
        <w:contextualSpacing w:val="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In the code, the tariffs for institutional care are called from a dataset named </w:t>
      </w:r>
      <w:proofErr w:type="spellStart"/>
      <w:r w:rsidRPr="003775CA">
        <w:rPr>
          <w:rFonts w:cstheme="minorHAnsi"/>
          <w:highlight w:val="lightGray"/>
          <w:lang w:val="en-US"/>
        </w:rPr>
        <w:t>zmv</w:t>
      </w:r>
      <w:proofErr w:type="spellEnd"/>
      <w:r w:rsidRPr="003775CA">
        <w:rPr>
          <w:rFonts w:cstheme="minorHAnsi"/>
          <w:highlight w:val="lightGray"/>
          <w:lang w:val="en-US"/>
        </w:rPr>
        <w:t xml:space="preserve"> </w:t>
      </w:r>
      <w:proofErr w:type="spellStart"/>
      <w:r w:rsidRPr="003775CA">
        <w:rPr>
          <w:rFonts w:cstheme="minorHAnsi"/>
          <w:highlight w:val="lightGray"/>
          <w:lang w:val="en-US"/>
        </w:rPr>
        <w:t>tarieven</w:t>
      </w:r>
      <w:proofErr w:type="spellEnd"/>
      <w:r w:rsidRPr="003775CA">
        <w:rPr>
          <w:rFonts w:cstheme="minorHAnsi"/>
          <w:highlight w:val="lightGray"/>
          <w:lang w:val="en-US"/>
        </w:rPr>
        <w:t xml:space="preserve"> </w:t>
      </w:r>
      <w:proofErr w:type="spellStart"/>
      <w:r w:rsidRPr="003775CA">
        <w:rPr>
          <w:rFonts w:cstheme="minorHAnsi"/>
          <w:highlight w:val="lightGray"/>
          <w:lang w:val="en-US"/>
        </w:rPr>
        <w:t>nacalculatie.dta</w:t>
      </w:r>
      <w:proofErr w:type="spellEnd"/>
      <w:r w:rsidRPr="003775CA">
        <w:rPr>
          <w:rFonts w:cstheme="minorHAnsi"/>
          <w:lang w:val="en-US"/>
        </w:rPr>
        <w:t>.</w:t>
      </w:r>
    </w:p>
    <w:p w14:paraId="0307C465" w14:textId="676FC887" w:rsidR="00ED775B" w:rsidRPr="003775CA" w:rsidRDefault="00ED775B" w:rsidP="00CF7526">
      <w:pPr>
        <w:pStyle w:val="ListParagraph"/>
        <w:spacing w:before="120" w:after="120"/>
        <w:contextualSpacing w:val="0"/>
        <w:jc w:val="both"/>
        <w:rPr>
          <w:rFonts w:cstheme="minorHAnsi"/>
          <w:lang w:val="en-US"/>
        </w:rPr>
      </w:pPr>
    </w:p>
    <w:p w14:paraId="466CCF04" w14:textId="0E6C1A80" w:rsidR="00ED775B" w:rsidRPr="003775CA" w:rsidRDefault="00ED775B" w:rsidP="00CF7526">
      <w:pPr>
        <w:pStyle w:val="ListParagraph"/>
        <w:numPr>
          <w:ilvl w:val="0"/>
          <w:numId w:val="5"/>
        </w:numPr>
        <w:spacing w:before="120" w:after="120"/>
        <w:contextualSpacing w:val="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>Similarly, we import information on the daily tariff paid for the main types of home care (PV, VP, BG and BH), using the same source.</w:t>
      </w:r>
    </w:p>
    <w:p w14:paraId="64415D44" w14:textId="66B18DB5" w:rsidR="00D571CD" w:rsidRPr="003775CA" w:rsidRDefault="00D571CD" w:rsidP="00CF7526">
      <w:pPr>
        <w:pStyle w:val="ListParagraph"/>
        <w:spacing w:before="120" w:after="120"/>
        <w:contextualSpacing w:val="0"/>
        <w:jc w:val="both"/>
        <w:rPr>
          <w:rFonts w:cstheme="minorHAnsi"/>
          <w:lang w:val="en-US"/>
        </w:rPr>
      </w:pPr>
      <w:r w:rsidRPr="003775CA">
        <w:rPr>
          <w:rFonts w:cstheme="minorHAnsi"/>
          <w:lang w:val="en-US"/>
        </w:rPr>
        <w:t xml:space="preserve">In the code, the tariffs for home care are called from a dataset named </w:t>
      </w:r>
      <w:proofErr w:type="spellStart"/>
      <w:r w:rsidRPr="003775CA">
        <w:rPr>
          <w:rFonts w:cstheme="minorHAnsi"/>
          <w:highlight w:val="lightGray"/>
          <w:lang w:val="en-US"/>
        </w:rPr>
        <w:t>zzv</w:t>
      </w:r>
      <w:proofErr w:type="spellEnd"/>
      <w:r w:rsidRPr="003775CA">
        <w:rPr>
          <w:rFonts w:cstheme="minorHAnsi"/>
          <w:highlight w:val="lightGray"/>
          <w:lang w:val="en-US"/>
        </w:rPr>
        <w:t xml:space="preserve"> </w:t>
      </w:r>
      <w:proofErr w:type="spellStart"/>
      <w:r w:rsidRPr="003775CA">
        <w:rPr>
          <w:rFonts w:cstheme="minorHAnsi"/>
          <w:highlight w:val="lightGray"/>
          <w:lang w:val="en-US"/>
        </w:rPr>
        <w:t>tarieven</w:t>
      </w:r>
      <w:proofErr w:type="spellEnd"/>
      <w:r w:rsidRPr="003775CA">
        <w:rPr>
          <w:rFonts w:cstheme="minorHAnsi"/>
          <w:highlight w:val="lightGray"/>
          <w:lang w:val="en-US"/>
        </w:rPr>
        <w:t xml:space="preserve"> </w:t>
      </w:r>
      <w:proofErr w:type="spellStart"/>
      <w:r w:rsidRPr="003775CA">
        <w:rPr>
          <w:rFonts w:cstheme="minorHAnsi"/>
          <w:highlight w:val="lightGray"/>
          <w:lang w:val="en-US"/>
        </w:rPr>
        <w:t>nacalculatie.dta</w:t>
      </w:r>
      <w:proofErr w:type="spellEnd"/>
      <w:r w:rsidRPr="003775CA">
        <w:rPr>
          <w:rFonts w:cstheme="minorHAnsi"/>
          <w:lang w:val="en-US"/>
        </w:rPr>
        <w:t>.</w:t>
      </w:r>
    </w:p>
    <w:sectPr w:rsidR="00D571CD" w:rsidRPr="003775CA"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42B78" w14:textId="77777777" w:rsidR="00212F4C" w:rsidRDefault="00212F4C" w:rsidP="00C7086C">
      <w:pPr>
        <w:spacing w:after="0" w:line="240" w:lineRule="auto"/>
      </w:pPr>
      <w:r>
        <w:separator/>
      </w:r>
    </w:p>
  </w:endnote>
  <w:endnote w:type="continuationSeparator" w:id="0">
    <w:p w14:paraId="56EC2D34" w14:textId="77777777" w:rsidR="00212F4C" w:rsidRDefault="00212F4C" w:rsidP="00C70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7967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18B65E" w14:textId="26A1C46B" w:rsidR="00C7086C" w:rsidRDefault="00C708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AE02D3" w14:textId="77777777" w:rsidR="00C7086C" w:rsidRDefault="00C70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D398A" w14:textId="77777777" w:rsidR="00212F4C" w:rsidRDefault="00212F4C" w:rsidP="00C7086C">
      <w:pPr>
        <w:spacing w:after="0" w:line="240" w:lineRule="auto"/>
      </w:pPr>
      <w:r>
        <w:separator/>
      </w:r>
    </w:p>
  </w:footnote>
  <w:footnote w:type="continuationSeparator" w:id="0">
    <w:p w14:paraId="69761CAF" w14:textId="77777777" w:rsidR="00212F4C" w:rsidRDefault="00212F4C" w:rsidP="00C7086C">
      <w:pPr>
        <w:spacing w:after="0" w:line="240" w:lineRule="auto"/>
      </w:pPr>
      <w:r>
        <w:continuationSeparator/>
      </w:r>
    </w:p>
  </w:footnote>
  <w:footnote w:id="1">
    <w:p w14:paraId="444DADD6" w14:textId="4722BCD9" w:rsidR="00F5298C" w:rsidRPr="00F5298C" w:rsidRDefault="00F5298C">
      <w:pPr>
        <w:pStyle w:val="FootnoteText"/>
        <w:rPr>
          <w:lang w:val="en-US"/>
        </w:rPr>
      </w:pPr>
      <w:r w:rsidRPr="00F5298C">
        <w:rPr>
          <w:rStyle w:val="FootnoteReference"/>
        </w:rPr>
        <w:footnoteRef/>
      </w:r>
      <w:r w:rsidRPr="00F5298C">
        <w:rPr>
          <w:lang w:val="en-US"/>
        </w:rPr>
        <w:t xml:space="preserve"> </w:t>
      </w:r>
      <w:r w:rsidRPr="00F5298C">
        <w:rPr>
          <w:rFonts w:cstheme="minorHAnsi"/>
          <w:lang w:val="en-US"/>
        </w:rPr>
        <w:t xml:space="preserve">Erasmus School of Health Policy &amp; Management, Erasmus Center for Health Economics Rotterdam, Erasmus University Rotterdam. </w:t>
      </w:r>
      <w:r w:rsidRPr="00F5298C">
        <w:rPr>
          <w:lang w:val="en-US"/>
        </w:rPr>
        <w:t xml:space="preserve">Corresponding author: marianne.tenand.pro[at]gmail.com </w:t>
      </w:r>
    </w:p>
  </w:footnote>
  <w:footnote w:id="2">
    <w:p w14:paraId="23AD8B23" w14:textId="4F8B9FE9" w:rsidR="00F5298C" w:rsidRPr="00F5298C" w:rsidRDefault="00F5298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F5298C">
        <w:rPr>
          <w:lang w:val="en-US"/>
        </w:rPr>
        <w:t xml:space="preserve"> </w:t>
      </w:r>
      <w:r w:rsidRPr="00F5298C">
        <w:rPr>
          <w:rFonts w:cstheme="minorHAnsi"/>
          <w:lang w:val="en-US"/>
        </w:rPr>
        <w:t>Erasmus School of Health Policy &amp; Management, Erasmus Center for Health Economics Rotterdam, Erasmus University Rotterdam.</w:t>
      </w:r>
    </w:p>
  </w:footnote>
  <w:footnote w:id="3">
    <w:p w14:paraId="3B5B1FD1" w14:textId="1ACEF68D" w:rsidR="00F5298C" w:rsidRPr="00F5298C" w:rsidRDefault="00F5298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F5298C">
        <w:rPr>
          <w:lang w:val="en-US"/>
        </w:rPr>
        <w:t xml:space="preserve"> </w:t>
      </w:r>
      <w:r w:rsidRPr="00F5298C">
        <w:rPr>
          <w:rFonts w:cstheme="minorHAnsi"/>
          <w:lang w:val="en-US"/>
        </w:rPr>
        <w:t>Erasmus School of Health Policy &amp; Management</w:t>
      </w:r>
      <w:r>
        <w:rPr>
          <w:rFonts w:cstheme="minorHAnsi"/>
          <w:lang w:val="en-US"/>
        </w:rPr>
        <w:t xml:space="preserve"> &amp; Erasmus School of Economics</w:t>
      </w:r>
      <w:r w:rsidRPr="00F5298C">
        <w:rPr>
          <w:rFonts w:cstheme="minorHAnsi"/>
          <w:lang w:val="en-US"/>
        </w:rPr>
        <w:t xml:space="preserve"> Erasmus Center for Health Economics Rotterdam, Erasmus University Rotterdam</w:t>
      </w:r>
      <w:r>
        <w:rPr>
          <w:rFonts w:cstheme="minorHAnsi"/>
          <w:lang w:val="en-US"/>
        </w:rPr>
        <w:t xml:space="preserve"> &amp; Tinbergen Institute</w:t>
      </w:r>
      <w:r w:rsidRPr="00F5298C">
        <w:rPr>
          <w:rFonts w:cstheme="minorHAnsi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78B0"/>
    <w:multiLevelType w:val="hybridMultilevel"/>
    <w:tmpl w:val="0E1CCF34"/>
    <w:lvl w:ilvl="0" w:tplc="99D037C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1766F"/>
    <w:multiLevelType w:val="multilevel"/>
    <w:tmpl w:val="37BA4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CE60C2E"/>
    <w:multiLevelType w:val="hybridMultilevel"/>
    <w:tmpl w:val="3DAA09D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145DA"/>
    <w:multiLevelType w:val="hybridMultilevel"/>
    <w:tmpl w:val="9E909560"/>
    <w:lvl w:ilvl="0" w:tplc="4F2CA89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539C4"/>
    <w:multiLevelType w:val="hybridMultilevel"/>
    <w:tmpl w:val="9B0A5E8A"/>
    <w:lvl w:ilvl="0" w:tplc="9D74EB2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C9"/>
    <w:rsid w:val="00053D68"/>
    <w:rsid w:val="00137110"/>
    <w:rsid w:val="00212F4C"/>
    <w:rsid w:val="00225F88"/>
    <w:rsid w:val="002D0DF1"/>
    <w:rsid w:val="003330EA"/>
    <w:rsid w:val="003775CA"/>
    <w:rsid w:val="003F2089"/>
    <w:rsid w:val="0040777B"/>
    <w:rsid w:val="00487DC9"/>
    <w:rsid w:val="00560FCA"/>
    <w:rsid w:val="00564212"/>
    <w:rsid w:val="00674FC1"/>
    <w:rsid w:val="006945CC"/>
    <w:rsid w:val="00697867"/>
    <w:rsid w:val="006D7506"/>
    <w:rsid w:val="00730CDF"/>
    <w:rsid w:val="00761BF1"/>
    <w:rsid w:val="00821218"/>
    <w:rsid w:val="00841A17"/>
    <w:rsid w:val="008B517E"/>
    <w:rsid w:val="008B6AF1"/>
    <w:rsid w:val="009656F6"/>
    <w:rsid w:val="00A61CF0"/>
    <w:rsid w:val="00AC0810"/>
    <w:rsid w:val="00AE4967"/>
    <w:rsid w:val="00B2445A"/>
    <w:rsid w:val="00B3161B"/>
    <w:rsid w:val="00B44756"/>
    <w:rsid w:val="00B66DE4"/>
    <w:rsid w:val="00B7708B"/>
    <w:rsid w:val="00BC411D"/>
    <w:rsid w:val="00BF0797"/>
    <w:rsid w:val="00C7086C"/>
    <w:rsid w:val="00CF7526"/>
    <w:rsid w:val="00D06976"/>
    <w:rsid w:val="00D16BB6"/>
    <w:rsid w:val="00D571CD"/>
    <w:rsid w:val="00D629E5"/>
    <w:rsid w:val="00D747BB"/>
    <w:rsid w:val="00DD3D9E"/>
    <w:rsid w:val="00E07BDA"/>
    <w:rsid w:val="00E44466"/>
    <w:rsid w:val="00EA146F"/>
    <w:rsid w:val="00EA325C"/>
    <w:rsid w:val="00ED775B"/>
    <w:rsid w:val="00EE52C9"/>
    <w:rsid w:val="00F04630"/>
    <w:rsid w:val="00F221E5"/>
    <w:rsid w:val="00F524DF"/>
    <w:rsid w:val="00F5298C"/>
    <w:rsid w:val="00FA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A692"/>
  <w15:chartTrackingRefBased/>
  <w15:docId w15:val="{2EBFC1B2-EC34-44F6-9F32-346C26B1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2C9"/>
    <w:pPr>
      <w:ind w:left="720"/>
      <w:contextualSpacing/>
    </w:pPr>
  </w:style>
  <w:style w:type="paragraph" w:customStyle="1" w:styleId="cdt4ke">
    <w:name w:val="cdt4ke"/>
    <w:basedOn w:val="Normal"/>
    <w:rsid w:val="0069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unhideWhenUsed/>
    <w:rsid w:val="006945C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945CC"/>
    <w:rPr>
      <w:b/>
      <w:bCs/>
    </w:rPr>
  </w:style>
  <w:style w:type="character" w:styleId="Emphasis">
    <w:name w:val="Emphasis"/>
    <w:basedOn w:val="DefaultParagraphFont"/>
    <w:uiPriority w:val="20"/>
    <w:qFormat/>
    <w:rsid w:val="006945C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708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86C"/>
  </w:style>
  <w:style w:type="paragraph" w:styleId="Footer">
    <w:name w:val="footer"/>
    <w:basedOn w:val="Normal"/>
    <w:link w:val="FooterChar"/>
    <w:uiPriority w:val="99"/>
    <w:unhideWhenUsed/>
    <w:rsid w:val="00C708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86C"/>
  </w:style>
  <w:style w:type="character" w:styleId="UnresolvedMention">
    <w:name w:val="Unresolved Mention"/>
    <w:basedOn w:val="DefaultParagraphFont"/>
    <w:uiPriority w:val="99"/>
    <w:semiHidden/>
    <w:unhideWhenUsed/>
    <w:rsid w:val="00F524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3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52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29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29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hec.3994" TargetMode="External"/><Relationship Id="rId13" Type="http://schemas.openxmlformats.org/officeDocument/2006/relationships/hyperlink" Target="https://www.google.com/url?q=https%3A%2F%2Fonlinelibrary.wiley.com%2Fdoi%2Ffull%2F10.1002%2Fhec.4126&amp;sa=D&amp;sntz=1&amp;usg=AFQjCNEFpebInsW93jppBSyDtG7GAluUrw" TargetMode="External"/><Relationship Id="rId18" Type="http://schemas.openxmlformats.org/officeDocument/2006/relationships/hyperlink" Target="mailto:microdata@cbs.n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doi.org/10.1002/hec.4126" TargetMode="External"/><Relationship Id="rId17" Type="http://schemas.openxmlformats.org/officeDocument/2006/relationships/hyperlink" Target="https://faculty.fuqua.duke.edu/~abn5/BernoulliFiles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jstor.org/stable/23525734?seq=1" TargetMode="External"/><Relationship Id="rId20" Type="http://schemas.openxmlformats.org/officeDocument/2006/relationships/hyperlink" Target="https://mlzopendata.cbs.n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%3A%2F%2Fonlinelibrary.wiley.com%2Fjournal%2F10991050&amp;sa=D&amp;sntz=1&amp;usg=AFQjCNFJQLLJu2LDg2RjmWg5dGk3PKmVNQ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s%3A%2F%2Fonlinelibrary.wiley.com%2Faction%2FdownloadSupplement%3Fdoi%3D10.1002%252Fhec.3994%26file%3Dhec3994-sup-0001-Supplementary%2Bmaterial.pdf&amp;sa=D&amp;sntz=1&amp;usg=AFQjCNFhq7p96H5hjq3uH09vEGsrOiAoaQ" TargetMode="External"/><Relationship Id="rId19" Type="http://schemas.openxmlformats.org/officeDocument/2006/relationships/hyperlink" Target="https://www.hetvenster.com/Content/DownloadDocs/2012/pgb%20brochure,%20zelf%20zorg%20inkopen,%20201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%3A%2F%2Fonlinelibrary.wiley.com%2Fdoi%2Fepdf%2F10.1002%2Fhec.3994&amp;sa=D&amp;sntz=1&amp;usg=AFQjCNEb5Z3WmB7p7TM0cWdp9JeFKlQTvw" TargetMode="External"/><Relationship Id="rId14" Type="http://schemas.openxmlformats.org/officeDocument/2006/relationships/hyperlink" Target="https://www.google.com/url?q=https%3A%2F%2Fonlinelibrary.wiley.com%2Faction%2FdownloadSupplement%3Fdoi%3D10.1002%252Fhec.4126%26file%3DManuscript%2BHEC-19-0626_R1_Supplementary%2BMaterial_Proof_v2.pdf&amp;sa=D&amp;sntz=1&amp;usg=AFQjCNGCeWuoxNou_mYDB-ZnSHdqVu5STQ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3100C-6208-47BB-AAD5-6D20AB40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1959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Tenand</dc:creator>
  <cp:keywords/>
  <dc:description/>
  <cp:lastModifiedBy>Marianne Tenand</cp:lastModifiedBy>
  <cp:revision>32</cp:revision>
  <dcterms:created xsi:type="dcterms:W3CDTF">2021-03-31T16:39:00Z</dcterms:created>
  <dcterms:modified xsi:type="dcterms:W3CDTF">2021-04-09T13:02:00Z</dcterms:modified>
</cp:coreProperties>
</file>